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977"/>
      </w:tblGrid>
      <w:tr w:rsidR="004D202B">
        <w:trPr>
          <w:trHeight w:val="567"/>
        </w:trPr>
        <w:tc>
          <w:tcPr>
            <w:tcW w:w="3119" w:type="dxa"/>
            <w:vAlign w:val="center"/>
          </w:tcPr>
          <w:p w:rsidR="004D202B" w:rsidRDefault="00954A36">
            <w:pPr>
              <w:pStyle w:val="1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04.03.2022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b/>
                <w:sz w:val="26"/>
                <w:szCs w:val="26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b/>
                <w:sz w:val="26"/>
                <w:szCs w:val="26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4D202B" w:rsidRDefault="004D202B">
            <w:pPr>
              <w:pStyle w:val="1"/>
              <w:rPr>
                <w:rFonts w:ascii="Times New Roman" w:hAnsi="Times New Roman"/>
                <w:spacing w:val="20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4D202B" w:rsidRDefault="00954A36">
            <w:pPr>
              <w:pStyle w:val="1"/>
              <w:jc w:val="right"/>
              <w:rPr>
                <w:rFonts w:ascii="Times New Roman" w:hAnsi="Times New Roman"/>
                <w:spacing w:val="2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№ 0031/01-07</w:t>
            </w:r>
          </w:p>
        </w:tc>
      </w:tr>
      <w:tr w:rsidR="004D202B">
        <w:trPr>
          <w:trHeight w:val="364"/>
        </w:trPr>
        <w:tc>
          <w:tcPr>
            <w:tcW w:w="9356" w:type="dxa"/>
            <w:gridSpan w:val="3"/>
          </w:tcPr>
          <w:p w:rsidR="004D202B" w:rsidRDefault="004D202B">
            <w:pPr>
              <w:pStyle w:val="10"/>
              <w:jc w:val="center"/>
              <w:rPr>
                <w:sz w:val="26"/>
                <w:szCs w:val="26"/>
              </w:rPr>
            </w:pPr>
          </w:p>
        </w:tc>
      </w:tr>
      <w:tr w:rsidR="004D202B">
        <w:trPr>
          <w:trHeight w:val="513"/>
        </w:trPr>
        <w:tc>
          <w:tcPr>
            <w:tcW w:w="9356" w:type="dxa"/>
            <w:gridSpan w:val="3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Ведомственной целевой программы</w:t>
            </w:r>
          </w:p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«Сохранение, использование, популяризация объектов культурного наследия (памятников истории и культуры), расположенных на территории</w:t>
            </w:r>
          </w:p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Томской области» </w:t>
            </w:r>
          </w:p>
          <w:p w:rsidR="004D202B" w:rsidRDefault="004D202B">
            <w:pPr>
              <w:jc w:val="center"/>
              <w:rPr>
                <w:sz w:val="26"/>
                <w:szCs w:val="26"/>
              </w:rPr>
            </w:pPr>
          </w:p>
        </w:tc>
      </w:tr>
    </w:tbl>
    <w:p w:rsidR="004D202B" w:rsidRDefault="004D202B">
      <w:pPr>
        <w:pStyle w:val="10"/>
        <w:rPr>
          <w:sz w:val="26"/>
          <w:szCs w:val="26"/>
        </w:rPr>
      </w:pPr>
      <w:bookmarkStart w:id="1" w:name="ТекстовоеПоле2"/>
    </w:p>
    <w:p w:rsidR="004D202B" w:rsidRDefault="00954A36">
      <w:pPr>
        <w:pStyle w:val="ConsPlusTitle"/>
        <w:widowControl/>
        <w:tabs>
          <w:tab w:val="left" w:pos="567"/>
          <w:tab w:val="left" w:pos="1134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В соответствии с постановлением Администрации Томской области от 29.06.2016 № 219а «Об утверждении порядка разработки, утверждения и реализации ведомственных целевых программ Томской области»</w:t>
      </w:r>
    </w:p>
    <w:p w:rsidR="004D202B" w:rsidRDefault="00954A36">
      <w:pPr>
        <w:pStyle w:val="ConsPlusTitle"/>
        <w:widowControl/>
        <w:tabs>
          <w:tab w:val="left" w:pos="567"/>
          <w:tab w:val="left" w:pos="1134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ПРИКАЗЫВАЮ</w:t>
      </w:r>
    </w:p>
    <w:p w:rsidR="004D202B" w:rsidRDefault="00954A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прилагаемую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Ведомственную целевую прогр</w:t>
      </w:r>
      <w:r>
        <w:rPr>
          <w:sz w:val="26"/>
          <w:szCs w:val="26"/>
        </w:rPr>
        <w:t>амму «Сохранение, использование, популяризация объектов культурного наследия (памятников истории и культуры), расположенных на территории Томской области».</w:t>
      </w:r>
    </w:p>
    <w:p w:rsidR="004D202B" w:rsidRDefault="00954A3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приказа возложить на председателя Комитета по охране объектов </w:t>
      </w:r>
      <w:r>
        <w:rPr>
          <w:sz w:val="26"/>
          <w:szCs w:val="26"/>
        </w:rPr>
        <w:t>культурного наследия Томской области.</w:t>
      </w:r>
    </w:p>
    <w:bookmarkEnd w:id="1"/>
    <w:p w:rsidR="004D202B" w:rsidRDefault="004D202B">
      <w:pPr>
        <w:ind w:firstLine="720"/>
        <w:rPr>
          <w:sz w:val="26"/>
          <w:szCs w:val="2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D202B">
        <w:tc>
          <w:tcPr>
            <w:tcW w:w="3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202B" w:rsidRDefault="004D202B">
            <w:pPr>
              <w:rPr>
                <w:sz w:val="26"/>
                <w:szCs w:val="26"/>
              </w:rPr>
            </w:pPr>
          </w:p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</w:t>
            </w:r>
          </w:p>
          <w:p w:rsidR="004D202B" w:rsidRDefault="004D202B">
            <w:pPr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202B" w:rsidRDefault="004D2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202B" w:rsidRDefault="004D202B">
            <w:pPr>
              <w:jc w:val="right"/>
              <w:rPr>
                <w:sz w:val="26"/>
                <w:szCs w:val="26"/>
              </w:rPr>
            </w:pPr>
          </w:p>
          <w:p w:rsidR="004D202B" w:rsidRDefault="00954A36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Е.В.Перетягина</w:t>
            </w:r>
            <w:proofErr w:type="spellEnd"/>
          </w:p>
        </w:tc>
      </w:tr>
    </w:tbl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954A36">
      <w:pPr>
        <w:sectPr w:rsidR="004D202B">
          <w:headerReference w:type="default" r:id="rId10"/>
          <w:footerReference w:type="even" r:id="rId11"/>
          <w:headerReference w:type="first" r:id="rId12"/>
          <w:type w:val="nextColumn"/>
          <w:pgSz w:w="11907" w:h="16840"/>
          <w:pgMar w:top="1134" w:right="851" w:bottom="1134" w:left="1701" w:header="567" w:footer="272" w:gutter="0"/>
          <w:cols w:space="720"/>
          <w:titlePg/>
          <w:docGrid w:linePitch="360"/>
        </w:sectPr>
      </w:pPr>
      <w:r>
        <w:t>Ярославцева Е.Е.</w:t>
      </w:r>
    </w:p>
    <w:p w:rsidR="004D202B" w:rsidRDefault="00954A36">
      <w:pPr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УТВЕРЖДЕНА</w:t>
      </w:r>
    </w:p>
    <w:p w:rsidR="004D202B" w:rsidRDefault="00954A36">
      <w:pPr>
        <w:ind w:left="55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приказом Комитета по охране объектов культурного наследия Томской области </w:t>
      </w:r>
    </w:p>
    <w:p w:rsidR="004D202B" w:rsidRDefault="00954A36">
      <w:pPr>
        <w:ind w:left="552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 </w:t>
      </w:r>
      <w:r>
        <w:rPr>
          <w:sz w:val="26"/>
          <w:szCs w:val="26"/>
          <w:u w:val="single"/>
        </w:rPr>
        <w:t xml:space="preserve">04.03.2022 </w:t>
      </w:r>
      <w:r>
        <w:rPr>
          <w:sz w:val="26"/>
          <w:szCs w:val="26"/>
        </w:rPr>
        <w:t xml:space="preserve"> №  </w:t>
      </w:r>
      <w:r>
        <w:rPr>
          <w:sz w:val="26"/>
          <w:szCs w:val="26"/>
          <w:u w:val="single"/>
        </w:rPr>
        <w:t>0031/01-07</w:t>
      </w: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954A36">
      <w:pPr>
        <w:jc w:val="center"/>
        <w:rPr>
          <w:sz w:val="26"/>
          <w:szCs w:val="26"/>
        </w:rPr>
      </w:pPr>
      <w:r>
        <w:rPr>
          <w:sz w:val="26"/>
          <w:szCs w:val="26"/>
        </w:rPr>
        <w:t>Ведомственная целевая программа Томской области</w:t>
      </w:r>
    </w:p>
    <w:p w:rsidR="004D202B" w:rsidRDefault="00954A3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«Сохранение, использование, популяризация объектов культурного наследия (памятников истории и культуры), расположенных </w:t>
      </w:r>
    </w:p>
    <w:p w:rsidR="004D202B" w:rsidRDefault="00954A3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 территории Томской области» </w:t>
      </w:r>
    </w:p>
    <w:p w:rsidR="004D202B" w:rsidRDefault="004D202B">
      <w:pPr>
        <w:ind w:left="4820"/>
        <w:rPr>
          <w:sz w:val="26"/>
          <w:szCs w:val="26"/>
        </w:rPr>
      </w:pPr>
    </w:p>
    <w:p w:rsidR="004D202B" w:rsidRDefault="00954A36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Паспорт ведомственной целевой программы Томской области</w:t>
      </w:r>
    </w:p>
    <w:p w:rsidR="004D202B" w:rsidRDefault="004D202B">
      <w:pPr>
        <w:jc w:val="both"/>
        <w:rPr>
          <w:sz w:val="26"/>
          <w:szCs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17"/>
        <w:gridCol w:w="1560"/>
        <w:gridCol w:w="1365"/>
        <w:gridCol w:w="1612"/>
      </w:tblGrid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субъекта бюджетного планирования (далее – СБП)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по охране объектов культурного наследия Томской области </w:t>
            </w: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ведомственной целевой программы Томской области (далее – ВЦП)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тип</w:t>
            </w: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государственной программы Томской обл</w:t>
            </w:r>
            <w:r>
              <w:rPr>
                <w:sz w:val="26"/>
                <w:szCs w:val="26"/>
              </w:rPr>
              <w:t>асти, в состав которой включается ВЦП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«Развитие культуры в Томской области»</w:t>
            </w: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подпрограммы государственной программы Томской области, в состав которой включается ВЦП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«Развитие культуры и архивного дела в Томской области»</w:t>
            </w: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ВЦП (задача подпрограммы)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Сохранение, использование, популяризация объектов культурного наследия (памятников истории и культуры), расположенных на территории Томской области</w:t>
            </w: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 СБП согласно положению о СБП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охрана объектов культурного наследия (памятников истории и культуры)</w:t>
            </w: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Наименования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4D202B">
            <w:pPr>
              <w:rPr>
                <w:sz w:val="26"/>
                <w:szCs w:val="26"/>
              </w:rPr>
            </w:pPr>
          </w:p>
          <w:p w:rsidR="004D202B" w:rsidRDefault="004D202B">
            <w:pPr>
              <w:rPr>
                <w:sz w:val="26"/>
                <w:szCs w:val="26"/>
              </w:rPr>
            </w:pPr>
          </w:p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Доля объектов культурного наследия, по которым </w:t>
            </w:r>
          </w:p>
          <w:p w:rsidR="004D202B" w:rsidRDefault="004D202B">
            <w:pPr>
              <w:rPr>
                <w:sz w:val="26"/>
                <w:szCs w:val="26"/>
              </w:rPr>
            </w:pPr>
          </w:p>
          <w:p w:rsidR="004D202B" w:rsidRDefault="004D202B">
            <w:pPr>
              <w:rPr>
                <w:sz w:val="26"/>
                <w:szCs w:val="26"/>
              </w:rPr>
            </w:pPr>
          </w:p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подготовлены и направлены в Министерство культуры Российской Федерации пакеты документов для внесения информации в электронную базу Единого государственного реестра объектов культурного наследия, в общем ко</w:t>
            </w:r>
            <w:r>
              <w:rPr>
                <w:sz w:val="26"/>
                <w:szCs w:val="26"/>
              </w:rPr>
              <w:t>личестве объектов культурного наследия Томской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 реализации ВЦП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ВЦП носит постоянный характер</w:t>
            </w:r>
          </w:p>
        </w:tc>
      </w:tr>
      <w:tr w:rsidR="004D202B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расходов областного бюджета на реализацию ВЦП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Коды классификации расходов бюджетов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Сумма </w:t>
            </w:r>
          </w:p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руб.)</w:t>
            </w:r>
          </w:p>
        </w:tc>
      </w:tr>
      <w:tr w:rsidR="004D202B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4D2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раздел, 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целевая статья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расходов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4D202B">
            <w:pPr>
              <w:jc w:val="center"/>
              <w:rPr>
                <w:sz w:val="26"/>
                <w:szCs w:val="26"/>
              </w:rPr>
            </w:pP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1016203070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101500,7</w:t>
            </w: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4D2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4D2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4D2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101500,7</w:t>
            </w: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1016203070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11500,7</w:t>
            </w: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4D2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4D2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4D2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11500,7</w:t>
            </w: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1016203070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11500,7</w:t>
            </w:r>
          </w:p>
        </w:tc>
      </w:tr>
      <w:tr w:rsidR="004D202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4D2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4D2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4D20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11500,7</w:t>
            </w:r>
          </w:p>
        </w:tc>
      </w:tr>
    </w:tbl>
    <w:p w:rsidR="004D202B" w:rsidRDefault="004D202B">
      <w:pPr>
        <w:ind w:left="4820"/>
        <w:rPr>
          <w:sz w:val="26"/>
          <w:szCs w:val="26"/>
        </w:rPr>
      </w:pPr>
    </w:p>
    <w:p w:rsidR="004D202B" w:rsidRDefault="00954A36">
      <w:pPr>
        <w:jc w:val="center"/>
        <w:rPr>
          <w:sz w:val="26"/>
          <w:szCs w:val="26"/>
        </w:rPr>
      </w:pPr>
      <w:r>
        <w:rPr>
          <w:sz w:val="26"/>
          <w:szCs w:val="26"/>
        </w:rPr>
        <w:t>Раздел 1. Характеристика цели ВЦП и направления работ по ее достижению</w:t>
      </w:r>
    </w:p>
    <w:p w:rsidR="004D202B" w:rsidRDefault="004D202B">
      <w:pPr>
        <w:rPr>
          <w:sz w:val="26"/>
          <w:szCs w:val="26"/>
        </w:rPr>
      </w:pPr>
    </w:p>
    <w:p w:rsidR="004D202B" w:rsidRDefault="00954A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законодательством полномочия по выявлению и учету объектов культурного наследия (далее – ОКН) переданы государственным органам охраны объектов культурного </w:t>
      </w:r>
      <w:r>
        <w:rPr>
          <w:sz w:val="26"/>
          <w:szCs w:val="26"/>
        </w:rPr>
        <w:t>наследия на территории субъектов Российской Федерации. На начало 2021 года на территории Томской области зарегистрировано 816 объектов культурного наследия, из которых 339 являются памятниками истории и культуры федерального значения и 477 регионального зн</w:t>
      </w:r>
      <w:r>
        <w:rPr>
          <w:sz w:val="26"/>
          <w:szCs w:val="26"/>
        </w:rPr>
        <w:t>ачения. Для обеспечения сохранности ОКН на территории Томской области прослеживается острая необходимость проведения работ по выявлению и учету объектов культурного наследия, а также работ по их сохранению.</w:t>
      </w:r>
    </w:p>
    <w:p w:rsidR="004D202B" w:rsidRDefault="00954A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настоящее время в Томской области актуальными я</w:t>
      </w:r>
      <w:r>
        <w:rPr>
          <w:sz w:val="26"/>
          <w:szCs w:val="26"/>
        </w:rPr>
        <w:t>вляются следующие вопросы в сфере государственной охраны объектов культурного наследия:</w:t>
      </w:r>
    </w:p>
    <w:p w:rsidR="004D202B" w:rsidRDefault="00954A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ухудшение технического состояния ОКН;</w:t>
      </w:r>
    </w:p>
    <w:p w:rsidR="004D202B" w:rsidRDefault="00954A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 рисков физической утраты ОКН;</w:t>
      </w:r>
    </w:p>
    <w:p w:rsidR="004D202B" w:rsidRDefault="004D202B">
      <w:pPr>
        <w:ind w:firstLine="709"/>
        <w:jc w:val="both"/>
        <w:rPr>
          <w:sz w:val="26"/>
          <w:szCs w:val="26"/>
        </w:rPr>
      </w:pPr>
    </w:p>
    <w:p w:rsidR="004D202B" w:rsidRDefault="004D202B">
      <w:pPr>
        <w:ind w:firstLine="709"/>
        <w:jc w:val="both"/>
        <w:rPr>
          <w:sz w:val="26"/>
          <w:szCs w:val="26"/>
        </w:rPr>
      </w:pPr>
    </w:p>
    <w:p w:rsidR="004D202B" w:rsidRDefault="004D202B">
      <w:pPr>
        <w:ind w:firstLine="709"/>
        <w:jc w:val="both"/>
        <w:rPr>
          <w:sz w:val="26"/>
          <w:szCs w:val="26"/>
        </w:rPr>
      </w:pPr>
    </w:p>
    <w:p w:rsidR="004D202B" w:rsidRDefault="004D202B">
      <w:pPr>
        <w:ind w:firstLine="709"/>
        <w:jc w:val="both"/>
        <w:rPr>
          <w:sz w:val="26"/>
          <w:szCs w:val="26"/>
        </w:rPr>
      </w:pPr>
    </w:p>
    <w:p w:rsidR="004D202B" w:rsidRDefault="00954A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 потребности в создании организационных и материальных условий для изучения культ</w:t>
      </w:r>
      <w:r>
        <w:rPr>
          <w:sz w:val="26"/>
          <w:szCs w:val="26"/>
        </w:rPr>
        <w:t>урного наследия Томской области – объектов культурного наследия и объектов, не имеющих статуса памятников истории и культуры, но имеющих признаки ОКН.</w:t>
      </w:r>
    </w:p>
    <w:p w:rsidR="004D202B" w:rsidRDefault="00954A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направлениями работ в данной сфере являются создание условий для эффективной работы по обеспече</w:t>
      </w:r>
      <w:r>
        <w:rPr>
          <w:sz w:val="26"/>
          <w:szCs w:val="26"/>
        </w:rPr>
        <w:t xml:space="preserve">нию физической сохранности объектов культурного наследия Томской области, обеспечение выявления и учета объектов культурного наследия. </w:t>
      </w:r>
    </w:p>
    <w:p w:rsidR="004D202B" w:rsidRDefault="00954A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Ожидаемыми результатами реализации ВЦП являются: </w:t>
      </w:r>
    </w:p>
    <w:p w:rsidR="004D202B" w:rsidRDefault="00954A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</w:t>
      </w:r>
      <w:proofErr w:type="gramStart"/>
      <w:r>
        <w:rPr>
          <w:sz w:val="26"/>
          <w:szCs w:val="26"/>
        </w:rPr>
        <w:t>эффективности использования объектов культурного наследия То</w:t>
      </w:r>
      <w:r>
        <w:rPr>
          <w:sz w:val="26"/>
          <w:szCs w:val="26"/>
        </w:rPr>
        <w:t>мской области</w:t>
      </w:r>
      <w:proofErr w:type="gramEnd"/>
      <w:r>
        <w:rPr>
          <w:sz w:val="26"/>
          <w:szCs w:val="26"/>
        </w:rPr>
        <w:t>;</w:t>
      </w:r>
    </w:p>
    <w:p w:rsidR="004D202B" w:rsidRDefault="00954A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ежегодное увеличение доли объектов, по которым подготовлены и направлены документы для регистрации в Едином государственном реестре объектов культурного наследия (памятников истории и культуры) народов Российской Федерации;</w:t>
      </w:r>
    </w:p>
    <w:p w:rsidR="004D202B" w:rsidRDefault="00954A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увеличение доли о</w:t>
      </w:r>
      <w:r>
        <w:rPr>
          <w:sz w:val="26"/>
          <w:szCs w:val="26"/>
        </w:rPr>
        <w:t>бъектов культурного наследия, находящихся в удовлетворительном состоянии.</w:t>
      </w:r>
    </w:p>
    <w:p w:rsidR="004D202B" w:rsidRDefault="004D202B">
      <w:pPr>
        <w:jc w:val="center"/>
        <w:rPr>
          <w:sz w:val="26"/>
          <w:szCs w:val="26"/>
        </w:rPr>
      </w:pPr>
    </w:p>
    <w:p w:rsidR="004D202B" w:rsidRDefault="004D202B">
      <w:pPr>
        <w:jc w:val="center"/>
        <w:rPr>
          <w:sz w:val="26"/>
          <w:szCs w:val="26"/>
        </w:rPr>
      </w:pPr>
    </w:p>
    <w:p w:rsidR="004D202B" w:rsidRDefault="004D202B">
      <w:pPr>
        <w:jc w:val="center"/>
        <w:rPr>
          <w:sz w:val="26"/>
          <w:szCs w:val="26"/>
        </w:rPr>
        <w:sectPr w:rsidR="004D202B">
          <w:headerReference w:type="even" r:id="rId13"/>
          <w:headerReference w:type="default" r:id="rId14"/>
          <w:headerReference w:type="first" r:id="rId15"/>
          <w:pgSz w:w="11907" w:h="16840"/>
          <w:pgMar w:top="1134" w:right="851" w:bottom="1134" w:left="1701" w:header="567" w:footer="272" w:gutter="0"/>
          <w:pgNumType w:start="2"/>
          <w:cols w:space="720"/>
          <w:docGrid w:linePitch="360"/>
        </w:sectPr>
      </w:pPr>
    </w:p>
    <w:p w:rsidR="004D202B" w:rsidRDefault="00954A36">
      <w:pPr>
        <w:jc w:val="center"/>
        <w:rPr>
          <w:sz w:val="26"/>
          <w:szCs w:val="26"/>
        </w:rPr>
      </w:pPr>
      <w:r>
        <w:rPr>
          <w:sz w:val="26"/>
          <w:szCs w:val="26"/>
        </w:rPr>
        <w:t>Раздел 2. Описание методик расчета показателей</w:t>
      </w:r>
    </w:p>
    <w:p w:rsidR="004D202B" w:rsidRDefault="00954A36">
      <w:pPr>
        <w:jc w:val="center"/>
        <w:rPr>
          <w:sz w:val="26"/>
          <w:szCs w:val="26"/>
        </w:rPr>
      </w:pPr>
      <w:r>
        <w:rPr>
          <w:sz w:val="26"/>
          <w:szCs w:val="26"/>
        </w:rPr>
        <w:t>непосредственного результата (мероприятий ВЦП)</w:t>
      </w:r>
    </w:p>
    <w:p w:rsidR="004D202B" w:rsidRDefault="004D202B">
      <w:pPr>
        <w:rPr>
          <w:sz w:val="26"/>
          <w:szCs w:val="26"/>
        </w:rPr>
      </w:pPr>
    </w:p>
    <w:tbl>
      <w:tblPr>
        <w:tblStyle w:val="af8"/>
        <w:tblW w:w="14737" w:type="dxa"/>
        <w:tblLayout w:type="fixed"/>
        <w:tblLook w:val="04A0" w:firstRow="1" w:lastRow="0" w:firstColumn="1" w:lastColumn="0" w:noHBand="0" w:noVBand="1"/>
      </w:tblPr>
      <w:tblGrid>
        <w:gridCol w:w="3227"/>
        <w:gridCol w:w="1499"/>
        <w:gridCol w:w="3604"/>
        <w:gridCol w:w="3626"/>
        <w:gridCol w:w="2781"/>
      </w:tblGrid>
      <w:tr w:rsidR="004D202B">
        <w:tc>
          <w:tcPr>
            <w:tcW w:w="3227" w:type="dxa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99" w:type="dxa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3604" w:type="dxa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Положительная динамика в течение финансового года (рост/снижение/стабильность)</w:t>
            </w:r>
          </w:p>
        </w:tc>
        <w:tc>
          <w:tcPr>
            <w:tcW w:w="3626" w:type="dxa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расчета показателя</w:t>
            </w:r>
          </w:p>
        </w:tc>
        <w:tc>
          <w:tcPr>
            <w:tcW w:w="2781" w:type="dxa"/>
          </w:tcPr>
          <w:p w:rsidR="004D202B" w:rsidRDefault="00954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Исходная информация для расчета показателя</w:t>
            </w:r>
          </w:p>
        </w:tc>
      </w:tr>
      <w:tr w:rsidR="004D202B">
        <w:tc>
          <w:tcPr>
            <w:tcW w:w="3227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Количество государственных услуг (работ), выполне</w:t>
            </w:r>
            <w:r>
              <w:rPr>
                <w:sz w:val="26"/>
                <w:szCs w:val="26"/>
              </w:rPr>
              <w:t>нных в полном объеме (мероприятие № 1)</w:t>
            </w:r>
          </w:p>
        </w:tc>
        <w:tc>
          <w:tcPr>
            <w:tcW w:w="1499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</w:t>
            </w:r>
          </w:p>
        </w:tc>
        <w:tc>
          <w:tcPr>
            <w:tcW w:w="3604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стабильность</w:t>
            </w:r>
          </w:p>
        </w:tc>
        <w:tc>
          <w:tcPr>
            <w:tcW w:w="3626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подсчет общего количества государственных услуг и (или) работ, на которые доводятся государственные задания, выполненные в полном объеме</w:t>
            </w:r>
          </w:p>
        </w:tc>
        <w:tc>
          <w:tcPr>
            <w:tcW w:w="2781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выполнении государственного задания</w:t>
            </w:r>
          </w:p>
        </w:tc>
      </w:tr>
      <w:tr w:rsidR="004D202B">
        <w:tc>
          <w:tcPr>
            <w:tcW w:w="3227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Количество о</w:t>
            </w:r>
            <w:r>
              <w:rPr>
                <w:sz w:val="26"/>
                <w:szCs w:val="26"/>
              </w:rPr>
              <w:t>бластных государственных учреждений, выполнивших государственное задание в полном объеме (мероприятие № 1)</w:t>
            </w:r>
          </w:p>
        </w:tc>
        <w:tc>
          <w:tcPr>
            <w:tcW w:w="1499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</w:t>
            </w:r>
          </w:p>
        </w:tc>
        <w:tc>
          <w:tcPr>
            <w:tcW w:w="3604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стабильность</w:t>
            </w:r>
          </w:p>
        </w:tc>
        <w:tc>
          <w:tcPr>
            <w:tcW w:w="3626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подсчет общего количества областных государственных учреждений, выполнивших государственное задание в полном объеме</w:t>
            </w:r>
          </w:p>
        </w:tc>
        <w:tc>
          <w:tcPr>
            <w:tcW w:w="2781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тчет о выполнении государственного задания</w:t>
            </w:r>
          </w:p>
        </w:tc>
      </w:tr>
      <w:tr w:rsidR="004D202B">
        <w:tc>
          <w:tcPr>
            <w:tcW w:w="3227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Количество оплаченных услуг по обслуживанию и ремонту здания (мероприятие № 2)</w:t>
            </w:r>
          </w:p>
        </w:tc>
        <w:tc>
          <w:tcPr>
            <w:tcW w:w="1499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 </w:t>
            </w:r>
          </w:p>
        </w:tc>
        <w:tc>
          <w:tcPr>
            <w:tcW w:w="3604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рост</w:t>
            </w:r>
          </w:p>
        </w:tc>
        <w:tc>
          <w:tcPr>
            <w:tcW w:w="3626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подсчет</w:t>
            </w:r>
          </w:p>
        </w:tc>
        <w:tc>
          <w:tcPr>
            <w:tcW w:w="2781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ведомственная статистика</w:t>
            </w:r>
          </w:p>
        </w:tc>
      </w:tr>
      <w:tr w:rsidR="004D202B">
        <w:tc>
          <w:tcPr>
            <w:tcW w:w="3227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Количество отремонтированных объектов (мероприятие № 3)</w:t>
            </w:r>
          </w:p>
        </w:tc>
        <w:tc>
          <w:tcPr>
            <w:tcW w:w="1499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 </w:t>
            </w:r>
          </w:p>
        </w:tc>
        <w:tc>
          <w:tcPr>
            <w:tcW w:w="3604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рост</w:t>
            </w:r>
          </w:p>
        </w:tc>
        <w:tc>
          <w:tcPr>
            <w:tcW w:w="3626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подсчет</w:t>
            </w:r>
          </w:p>
        </w:tc>
        <w:tc>
          <w:tcPr>
            <w:tcW w:w="2781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едомственная статистика</w:t>
            </w:r>
          </w:p>
        </w:tc>
      </w:tr>
      <w:tr w:rsidR="004D202B">
        <w:tc>
          <w:tcPr>
            <w:tcW w:w="3227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Количество отремонтированных объектов (мероприятие № 4)</w:t>
            </w:r>
          </w:p>
        </w:tc>
        <w:tc>
          <w:tcPr>
            <w:tcW w:w="1499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 </w:t>
            </w:r>
          </w:p>
        </w:tc>
        <w:tc>
          <w:tcPr>
            <w:tcW w:w="3604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рост</w:t>
            </w:r>
          </w:p>
        </w:tc>
        <w:tc>
          <w:tcPr>
            <w:tcW w:w="3626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подсчет</w:t>
            </w:r>
          </w:p>
        </w:tc>
        <w:tc>
          <w:tcPr>
            <w:tcW w:w="2781" w:type="dxa"/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ведомственная статистика</w:t>
            </w:r>
          </w:p>
        </w:tc>
      </w:tr>
    </w:tbl>
    <w:p w:rsidR="004D202B" w:rsidRDefault="004D202B">
      <w:pPr>
        <w:outlineLvl w:val="0"/>
        <w:rPr>
          <w:sz w:val="26"/>
          <w:szCs w:val="26"/>
        </w:rPr>
        <w:sectPr w:rsidR="004D202B">
          <w:headerReference w:type="even" r:id="rId16"/>
          <w:pgSz w:w="16840" w:h="11907" w:orient="landscape"/>
          <w:pgMar w:top="1701" w:right="1134" w:bottom="851" w:left="1134" w:header="567" w:footer="272" w:gutter="0"/>
          <w:pgNumType w:start="5"/>
          <w:cols w:space="720"/>
          <w:titlePg/>
          <w:docGrid w:linePitch="360"/>
        </w:sectPr>
      </w:pPr>
    </w:p>
    <w:p w:rsidR="004D202B" w:rsidRDefault="00954A36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Раздел 3. Порядок управления ВЦП</w:t>
      </w:r>
    </w:p>
    <w:p w:rsidR="004D202B" w:rsidRDefault="004D202B">
      <w:pPr>
        <w:jc w:val="both"/>
        <w:rPr>
          <w:sz w:val="26"/>
          <w:szCs w:val="26"/>
        </w:rPr>
      </w:pPr>
    </w:p>
    <w:tbl>
      <w:tblPr>
        <w:tblW w:w="93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6736"/>
      </w:tblGrid>
      <w:tr w:rsidR="004D202B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Ответственный</w:t>
            </w:r>
            <w:proofErr w:type="gramEnd"/>
            <w:r>
              <w:rPr>
                <w:sz w:val="26"/>
                <w:szCs w:val="26"/>
              </w:rPr>
              <w:t xml:space="preserve"> за реализацию ВЦП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Перетягина Елена Владиславовна, председатель Комитета по охране объектов культурного наследия Томской области</w:t>
            </w:r>
          </w:p>
        </w:tc>
      </w:tr>
      <w:tr w:rsidR="004D202B">
        <w:trPr>
          <w:trHeight w:val="325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организации работы по реализации ВЦП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ВЦП: Комитет по охране объектов культурного наследия Томской области; областное государст</w:t>
            </w:r>
            <w:r>
              <w:rPr>
                <w:sz w:val="26"/>
                <w:szCs w:val="26"/>
              </w:rPr>
              <w:t>венное автономное учреждение культуры «Центр по охране и использованию памятников истории и культуры»</w:t>
            </w:r>
          </w:p>
        </w:tc>
      </w:tr>
      <w:tr w:rsidR="004D202B">
        <w:trPr>
          <w:trHeight w:val="323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02B" w:rsidRDefault="004D20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охране объектов культурного наследия Томской области осуществляет:</w:t>
            </w:r>
          </w:p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исполнением ВЦП,</w:t>
            </w:r>
            <w:r>
              <w:rPr>
                <w:sz w:val="26"/>
                <w:szCs w:val="26"/>
              </w:rPr>
              <w:t xml:space="preserve"> мониторинг выполнение системы программных мероприятий;</w:t>
            </w:r>
          </w:p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координацию деятельности исполнителей на основе периодической отчетности для обеспечения их согласованных действий;</w:t>
            </w:r>
          </w:p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рациональным использованием исполнителями выделяемых финансовых ср</w:t>
            </w:r>
            <w:r>
              <w:rPr>
                <w:sz w:val="26"/>
                <w:szCs w:val="26"/>
              </w:rPr>
              <w:t>едств;</w:t>
            </w:r>
          </w:p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текущую работу по подготовке и реализации мероприятий, обеспечивающих взаимодействие с другими органами исполнительной власти Томской области и организациями;</w:t>
            </w:r>
          </w:p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работу по корректировке ВЦП на основании результатов работы за год;</w:t>
            </w:r>
          </w:p>
          <w:p w:rsidR="004D202B" w:rsidRDefault="00954A36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6) подготовку и </w:t>
            </w:r>
            <w:r>
              <w:rPr>
                <w:sz w:val="26"/>
                <w:szCs w:val="26"/>
              </w:rPr>
              <w:t xml:space="preserve">представление в сводной бюджетной заявки на финансирование мероприятий ВЦП на очередной финансовый год. </w:t>
            </w:r>
            <w:proofErr w:type="gramEnd"/>
          </w:p>
        </w:tc>
      </w:tr>
      <w:tr w:rsidR="004D202B">
        <w:trPr>
          <w:trHeight w:val="323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4D202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программы осуществляют:</w:t>
            </w:r>
          </w:p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текущую работу по подготовке и реализации мероприятий ВЦП;</w:t>
            </w:r>
          </w:p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подготовку и представление в установленном порядке</w:t>
            </w:r>
            <w:r>
              <w:rPr>
                <w:sz w:val="26"/>
                <w:szCs w:val="26"/>
              </w:rPr>
              <w:t xml:space="preserve"> сводной бюджетной заявки на финансирование мероприятий ВЦП на очередной финансовый год;</w:t>
            </w:r>
          </w:p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подготовку и представление в Департамент по культуре Томской области форм отчетности о реализации мероприятий ВЦП. </w:t>
            </w:r>
          </w:p>
        </w:tc>
      </w:tr>
      <w:tr w:rsidR="004D202B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 </w:t>
            </w:r>
          </w:p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 ежеквартальный и </w:t>
            </w:r>
            <w:r>
              <w:rPr>
                <w:sz w:val="26"/>
                <w:szCs w:val="26"/>
              </w:rPr>
              <w:t>ежегодный мониторинг ВЦП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Перетягина Елена Владиславовна, председатель Комитета по охране объектов культурного наследия Томской области</w:t>
            </w:r>
          </w:p>
        </w:tc>
      </w:tr>
    </w:tbl>
    <w:p w:rsidR="004D202B" w:rsidRDefault="004D202B">
      <w:pPr>
        <w:jc w:val="both"/>
        <w:rPr>
          <w:sz w:val="26"/>
          <w:szCs w:val="26"/>
        </w:rPr>
      </w:pPr>
    </w:p>
    <w:p w:rsidR="004D202B" w:rsidRDefault="004D202B">
      <w:pPr>
        <w:jc w:val="both"/>
        <w:rPr>
          <w:sz w:val="26"/>
          <w:szCs w:val="26"/>
        </w:rPr>
      </w:pPr>
    </w:p>
    <w:p w:rsidR="004D202B" w:rsidRDefault="004D202B">
      <w:pPr>
        <w:jc w:val="both"/>
        <w:rPr>
          <w:sz w:val="26"/>
          <w:szCs w:val="26"/>
        </w:rPr>
      </w:pPr>
    </w:p>
    <w:p w:rsidR="004D202B" w:rsidRDefault="004D202B">
      <w:pPr>
        <w:jc w:val="both"/>
        <w:rPr>
          <w:sz w:val="26"/>
          <w:szCs w:val="26"/>
        </w:rPr>
      </w:pPr>
    </w:p>
    <w:p w:rsidR="004D202B" w:rsidRDefault="004D202B">
      <w:pPr>
        <w:jc w:val="both"/>
        <w:rPr>
          <w:sz w:val="26"/>
          <w:szCs w:val="26"/>
        </w:rPr>
      </w:pPr>
    </w:p>
    <w:p w:rsidR="004D202B" w:rsidRDefault="004D202B">
      <w:pPr>
        <w:jc w:val="both"/>
        <w:rPr>
          <w:sz w:val="26"/>
          <w:szCs w:val="26"/>
        </w:rPr>
      </w:pPr>
    </w:p>
    <w:p w:rsidR="004D202B" w:rsidRDefault="004D202B">
      <w:pPr>
        <w:jc w:val="both"/>
        <w:rPr>
          <w:sz w:val="26"/>
          <w:szCs w:val="26"/>
        </w:rPr>
      </w:pPr>
    </w:p>
    <w:p w:rsidR="004D202B" w:rsidRDefault="004D202B">
      <w:pPr>
        <w:jc w:val="both"/>
        <w:rPr>
          <w:sz w:val="26"/>
          <w:szCs w:val="26"/>
        </w:rPr>
      </w:pPr>
    </w:p>
    <w:p w:rsidR="004D202B" w:rsidRDefault="00954A36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Раздел 4. Оценка рисков реализации ВЦП</w:t>
      </w:r>
    </w:p>
    <w:p w:rsidR="004D202B" w:rsidRDefault="004D202B">
      <w:pPr>
        <w:jc w:val="both"/>
        <w:rPr>
          <w:sz w:val="26"/>
          <w:szCs w:val="26"/>
        </w:rPr>
      </w:pPr>
    </w:p>
    <w:tbl>
      <w:tblPr>
        <w:tblW w:w="93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4078"/>
      </w:tblGrid>
      <w:tr w:rsidR="004D202B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рисков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возможного влияния рисков на реализацию ВЦП</w:t>
            </w:r>
          </w:p>
        </w:tc>
      </w:tr>
      <w:tr w:rsidR="004D202B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Кадровые риски. Отсутствие необходимых специалистов на период реализации отдельных мероприятий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Увеличение срока реализации мероприятий, направленных на сохранение объектов культурного наследия </w:t>
            </w:r>
          </w:p>
        </w:tc>
      </w:tr>
      <w:tr w:rsidR="004D202B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Непредвиденные, форс-мажорные обстоятельства (стихийные</w:t>
            </w:r>
            <w:r>
              <w:rPr>
                <w:sz w:val="26"/>
                <w:szCs w:val="26"/>
              </w:rPr>
              <w:t xml:space="preserve"> погодные явления и чрезвычайные ситуации)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Невыполнение запланированных мероприятий</w:t>
            </w:r>
          </w:p>
        </w:tc>
      </w:tr>
      <w:tr w:rsidR="004D202B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Возможные косвенные последствия реализации ВЦП, носящие отрицательный характер 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2B" w:rsidRDefault="0095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</w:tbl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</w:pPr>
    </w:p>
    <w:p w:rsidR="004D202B" w:rsidRDefault="004D202B">
      <w:pPr>
        <w:rPr>
          <w:sz w:val="26"/>
          <w:szCs w:val="26"/>
        </w:rPr>
        <w:sectPr w:rsidR="004D202B">
          <w:pgSz w:w="11907" w:h="16840"/>
          <w:pgMar w:top="1134" w:right="851" w:bottom="1134" w:left="1701" w:header="567" w:footer="272" w:gutter="0"/>
          <w:cols w:space="720"/>
          <w:titlePg/>
          <w:docGrid w:linePitch="360"/>
        </w:sectPr>
      </w:pPr>
    </w:p>
    <w:p w:rsidR="004D202B" w:rsidRDefault="00954A36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Раздел 5. Мероприятия ВЦП</w:t>
      </w:r>
    </w:p>
    <w:p w:rsidR="004D202B" w:rsidRDefault="004D202B">
      <w:pPr>
        <w:jc w:val="center"/>
        <w:rPr>
          <w:bCs/>
          <w:sz w:val="26"/>
          <w:szCs w:val="26"/>
        </w:rPr>
      </w:pPr>
    </w:p>
    <w:tbl>
      <w:tblPr>
        <w:tblStyle w:val="af8"/>
        <w:tblW w:w="14929" w:type="dxa"/>
        <w:tblLayout w:type="fixed"/>
        <w:tblLook w:val="04A0" w:firstRow="1" w:lastRow="0" w:firstColumn="1" w:lastColumn="0" w:noHBand="0" w:noVBand="1"/>
      </w:tblPr>
      <w:tblGrid>
        <w:gridCol w:w="524"/>
        <w:gridCol w:w="1688"/>
        <w:gridCol w:w="1724"/>
        <w:gridCol w:w="850"/>
        <w:gridCol w:w="851"/>
        <w:gridCol w:w="1281"/>
        <w:gridCol w:w="1399"/>
        <w:gridCol w:w="801"/>
        <w:gridCol w:w="747"/>
        <w:gridCol w:w="747"/>
        <w:gridCol w:w="1539"/>
        <w:gridCol w:w="804"/>
        <w:gridCol w:w="658"/>
        <w:gridCol w:w="658"/>
        <w:gridCol w:w="658"/>
      </w:tblGrid>
      <w:tr w:rsidR="004D202B">
        <w:tc>
          <w:tcPr>
            <w:tcW w:w="524" w:type="dxa"/>
            <w:vMerge w:val="restart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688" w:type="dxa"/>
            <w:vMerge w:val="restart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724" w:type="dxa"/>
            <w:vMerge w:val="restart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 </w:t>
            </w:r>
            <w:r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701" w:type="dxa"/>
            <w:gridSpan w:val="2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</w:t>
            </w:r>
            <w:r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281" w:type="dxa"/>
            <w:vMerge w:val="restart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 </w:t>
            </w:r>
            <w:r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399" w:type="dxa"/>
            <w:vMerge w:val="restart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r>
              <w:rPr>
                <w:sz w:val="18"/>
                <w:szCs w:val="18"/>
              </w:rPr>
              <w:br/>
              <w:t>классификации расходов бюджетов (</w:t>
            </w:r>
            <w:proofErr w:type="spellStart"/>
            <w:r>
              <w:rPr>
                <w:sz w:val="18"/>
                <w:szCs w:val="18"/>
              </w:rPr>
              <w:t>РзПР</w:t>
            </w:r>
            <w:proofErr w:type="spellEnd"/>
            <w:r>
              <w:rPr>
                <w:sz w:val="18"/>
                <w:szCs w:val="18"/>
              </w:rPr>
              <w:t>, КЦСР, КВР)</w:t>
            </w:r>
          </w:p>
        </w:tc>
        <w:tc>
          <w:tcPr>
            <w:tcW w:w="2295" w:type="dxa"/>
            <w:gridSpan w:val="3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мероприятие (тыс. руб.)</w:t>
            </w:r>
          </w:p>
        </w:tc>
        <w:tc>
          <w:tcPr>
            <w:tcW w:w="4317" w:type="dxa"/>
            <w:gridSpan w:val="5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Показатели непосредственного результата   </w:t>
            </w:r>
            <w:r>
              <w:rPr>
                <w:sz w:val="18"/>
                <w:szCs w:val="18"/>
              </w:rPr>
              <w:br/>
              <w:t>(показатели ре</w:t>
            </w:r>
            <w:r>
              <w:rPr>
                <w:sz w:val="18"/>
                <w:szCs w:val="18"/>
              </w:rPr>
              <w:t>ализации мероприятия)</w:t>
            </w:r>
          </w:p>
        </w:tc>
      </w:tr>
      <w:tr w:rsidR="004D202B">
        <w:tc>
          <w:tcPr>
            <w:tcW w:w="524" w:type="dxa"/>
            <w:vMerge/>
            <w:vAlign w:val="center"/>
          </w:tcPr>
          <w:p w:rsidR="004D202B" w:rsidRDefault="004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  <w:vMerge/>
            <w:vAlign w:val="center"/>
          </w:tcPr>
          <w:p w:rsidR="004D202B" w:rsidRDefault="004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  <w:vAlign w:val="center"/>
          </w:tcPr>
          <w:p w:rsidR="004D202B" w:rsidRDefault="004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br/>
              <w:t>(месяц/ год)</w:t>
            </w:r>
          </w:p>
        </w:tc>
        <w:tc>
          <w:tcPr>
            <w:tcW w:w="851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br/>
              <w:t>(месяц/ год)</w:t>
            </w:r>
          </w:p>
        </w:tc>
        <w:tc>
          <w:tcPr>
            <w:tcW w:w="1281" w:type="dxa"/>
            <w:vMerge/>
            <w:vAlign w:val="center"/>
          </w:tcPr>
          <w:p w:rsidR="004D202B" w:rsidRDefault="004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4D202B" w:rsidRDefault="004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47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47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1539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 </w:t>
            </w:r>
            <w:r>
              <w:rPr>
                <w:sz w:val="18"/>
                <w:szCs w:val="18"/>
              </w:rPr>
              <w:br/>
              <w:t>показателя</w:t>
            </w:r>
          </w:p>
        </w:tc>
        <w:tc>
          <w:tcPr>
            <w:tcW w:w="804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658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58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58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4D202B">
        <w:tc>
          <w:tcPr>
            <w:tcW w:w="524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8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24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1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7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47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39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4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58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58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58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4D202B">
        <w:tc>
          <w:tcPr>
            <w:tcW w:w="524" w:type="dxa"/>
            <w:vMerge w:val="restart"/>
            <w:vAlign w:val="center"/>
          </w:tcPr>
          <w:p w:rsidR="004D202B" w:rsidRDefault="00954A36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1</w:t>
            </w:r>
          </w:p>
          <w:p w:rsidR="004D202B" w:rsidRDefault="00954A36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 </w:t>
            </w:r>
          </w:p>
        </w:tc>
        <w:tc>
          <w:tcPr>
            <w:tcW w:w="1688" w:type="dxa"/>
            <w:vMerge w:val="restart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государственных работ областным государственным автономным учреждением культуры  «Центр по охране и использованию памятников истории и культуры» в соответствии с государственным заданием</w:t>
            </w:r>
          </w:p>
        </w:tc>
        <w:tc>
          <w:tcPr>
            <w:tcW w:w="1724" w:type="dxa"/>
            <w:vMerge w:val="restart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государственных  работ, указанных в приложении </w:t>
            </w:r>
            <w:r>
              <w:rPr>
                <w:sz w:val="18"/>
                <w:szCs w:val="18"/>
              </w:rPr>
              <w:t>к ВЦП</w:t>
            </w:r>
          </w:p>
        </w:tc>
        <w:tc>
          <w:tcPr>
            <w:tcW w:w="850" w:type="dxa"/>
            <w:vMerge w:val="restart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01.2022</w:t>
            </w:r>
          </w:p>
        </w:tc>
        <w:tc>
          <w:tcPr>
            <w:tcW w:w="851" w:type="dxa"/>
            <w:vMerge w:val="restart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12.2024</w:t>
            </w:r>
          </w:p>
        </w:tc>
        <w:tc>
          <w:tcPr>
            <w:tcW w:w="1281" w:type="dxa"/>
            <w:vMerge w:val="restart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Областное </w:t>
            </w:r>
            <w:proofErr w:type="spellStart"/>
            <w:proofErr w:type="gramStart"/>
            <w:r>
              <w:rPr>
                <w:sz w:val="18"/>
                <w:szCs w:val="18"/>
              </w:rPr>
              <w:t>государст</w:t>
            </w:r>
            <w:proofErr w:type="spellEnd"/>
            <w:r>
              <w:rPr>
                <w:sz w:val="18"/>
                <w:szCs w:val="18"/>
              </w:rPr>
              <w:t>-венное</w:t>
            </w:r>
            <w:proofErr w:type="gramEnd"/>
            <w:r>
              <w:rPr>
                <w:sz w:val="18"/>
                <w:szCs w:val="18"/>
              </w:rPr>
              <w:t xml:space="preserve"> автономное учреждение культуры «Центр по охране и </w:t>
            </w:r>
            <w:proofErr w:type="spellStart"/>
            <w:r>
              <w:rPr>
                <w:sz w:val="18"/>
                <w:szCs w:val="18"/>
              </w:rPr>
              <w:t>использо-ванию</w:t>
            </w:r>
            <w:proofErr w:type="spellEnd"/>
            <w:r>
              <w:rPr>
                <w:sz w:val="18"/>
                <w:szCs w:val="18"/>
              </w:rPr>
              <w:t xml:space="preserve"> памятников истории и культуры»</w:t>
            </w:r>
          </w:p>
        </w:tc>
        <w:tc>
          <w:tcPr>
            <w:tcW w:w="1399" w:type="dxa"/>
            <w:vMerge w:val="restart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0801 1016203070 620</w:t>
            </w:r>
          </w:p>
        </w:tc>
        <w:tc>
          <w:tcPr>
            <w:tcW w:w="801" w:type="dxa"/>
            <w:vMerge w:val="restart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9208,9</w:t>
            </w:r>
          </w:p>
        </w:tc>
        <w:tc>
          <w:tcPr>
            <w:tcW w:w="747" w:type="dxa"/>
            <w:vMerge w:val="restart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9208,9</w:t>
            </w:r>
          </w:p>
        </w:tc>
        <w:tc>
          <w:tcPr>
            <w:tcW w:w="747" w:type="dxa"/>
            <w:vMerge w:val="restart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9208,9</w:t>
            </w:r>
          </w:p>
        </w:tc>
        <w:tc>
          <w:tcPr>
            <w:tcW w:w="1539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объема: количество  государственных</w:t>
            </w:r>
            <w:r>
              <w:rPr>
                <w:sz w:val="18"/>
                <w:szCs w:val="18"/>
              </w:rPr>
              <w:t xml:space="preserve">  услуг  (работ), выполненных в полном объеме</w:t>
            </w:r>
          </w:p>
        </w:tc>
        <w:tc>
          <w:tcPr>
            <w:tcW w:w="804" w:type="dxa"/>
          </w:tcPr>
          <w:p w:rsidR="004D202B" w:rsidRDefault="00954A36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единиц</w:t>
            </w:r>
          </w:p>
        </w:tc>
        <w:tc>
          <w:tcPr>
            <w:tcW w:w="658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8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8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D202B">
        <w:tc>
          <w:tcPr>
            <w:tcW w:w="524" w:type="dxa"/>
            <w:vMerge/>
            <w:vAlign w:val="center"/>
          </w:tcPr>
          <w:p w:rsidR="004D202B" w:rsidRDefault="004D20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</w:tcPr>
          <w:p w:rsidR="004D202B" w:rsidRDefault="004D202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4D202B" w:rsidRDefault="004D202B">
            <w:pPr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202B" w:rsidRDefault="004D202B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202B" w:rsidRDefault="004D202B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D202B" w:rsidRDefault="004D202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4D202B" w:rsidRDefault="004D202B">
            <w:pPr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vMerge/>
          </w:tcPr>
          <w:p w:rsidR="004D202B" w:rsidRDefault="004D202B">
            <w:pPr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/>
          </w:tcPr>
          <w:p w:rsidR="004D202B" w:rsidRDefault="004D202B">
            <w:pPr>
              <w:rPr>
                <w:bCs/>
                <w:sz w:val="18"/>
                <w:szCs w:val="18"/>
              </w:rPr>
            </w:pPr>
          </w:p>
        </w:tc>
        <w:tc>
          <w:tcPr>
            <w:tcW w:w="747" w:type="dxa"/>
            <w:vMerge/>
          </w:tcPr>
          <w:p w:rsidR="004D202B" w:rsidRDefault="004D202B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9" w:type="dxa"/>
          </w:tcPr>
          <w:p w:rsidR="004D202B" w:rsidRDefault="00954A3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качества: количество областных государственных учреждений выполнивших государственное задание в полном объеме</w:t>
            </w:r>
          </w:p>
        </w:tc>
        <w:tc>
          <w:tcPr>
            <w:tcW w:w="804" w:type="dxa"/>
          </w:tcPr>
          <w:p w:rsidR="004D202B" w:rsidRDefault="00954A36">
            <w:pPr>
              <w:rPr>
                <w:bCs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единиц</w:t>
            </w:r>
          </w:p>
        </w:tc>
        <w:tc>
          <w:tcPr>
            <w:tcW w:w="658" w:type="dxa"/>
          </w:tcPr>
          <w:p w:rsidR="004D202B" w:rsidRDefault="00954A3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8" w:type="dxa"/>
          </w:tcPr>
          <w:p w:rsidR="004D202B" w:rsidRDefault="00954A3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8" w:type="dxa"/>
          </w:tcPr>
          <w:p w:rsidR="004D202B" w:rsidRDefault="00954A36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D202B">
        <w:tc>
          <w:tcPr>
            <w:tcW w:w="524" w:type="dxa"/>
            <w:vAlign w:val="center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88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здания по адресу: г. Томск, пр. </w:t>
            </w:r>
            <w:r>
              <w:rPr>
                <w:sz w:val="18"/>
                <w:szCs w:val="18"/>
              </w:rPr>
              <w:t xml:space="preserve">Ленина, 50, являющегося объектом культурного наследия федерального значения («Здание Общественного собрания, 1900 г., </w:t>
            </w:r>
            <w:proofErr w:type="spellStart"/>
            <w:r>
              <w:rPr>
                <w:sz w:val="18"/>
                <w:szCs w:val="18"/>
              </w:rPr>
              <w:t>арх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ыгин</w:t>
            </w:r>
            <w:proofErr w:type="spellEnd"/>
            <w:r>
              <w:rPr>
                <w:sz w:val="18"/>
                <w:szCs w:val="18"/>
              </w:rPr>
              <w:t xml:space="preserve"> К.К.»)</w:t>
            </w:r>
          </w:p>
          <w:p w:rsidR="004D202B" w:rsidRDefault="004D202B">
            <w:pPr>
              <w:rPr>
                <w:sz w:val="18"/>
                <w:szCs w:val="18"/>
              </w:rPr>
            </w:pPr>
          </w:p>
          <w:p w:rsidR="004D202B" w:rsidRDefault="004D202B">
            <w:pPr>
              <w:rPr>
                <w:sz w:val="18"/>
                <w:szCs w:val="18"/>
              </w:rPr>
            </w:pPr>
          </w:p>
          <w:p w:rsidR="004D202B" w:rsidRDefault="004D202B">
            <w:pPr>
              <w:rPr>
                <w:sz w:val="18"/>
                <w:szCs w:val="18"/>
              </w:rPr>
            </w:pPr>
          </w:p>
          <w:p w:rsidR="004D202B" w:rsidRDefault="004D202B">
            <w:pPr>
              <w:rPr>
                <w:sz w:val="18"/>
                <w:szCs w:val="18"/>
              </w:rPr>
            </w:pPr>
          </w:p>
          <w:p w:rsidR="004D202B" w:rsidRDefault="004D202B">
            <w:pPr>
              <w:rPr>
                <w:sz w:val="18"/>
                <w:szCs w:val="18"/>
              </w:rPr>
            </w:pPr>
          </w:p>
          <w:p w:rsidR="004D202B" w:rsidRDefault="004D202B">
            <w:pPr>
              <w:rPr>
                <w:sz w:val="18"/>
                <w:szCs w:val="18"/>
              </w:rPr>
            </w:pPr>
          </w:p>
          <w:p w:rsidR="004D202B" w:rsidRDefault="004D202B">
            <w:pPr>
              <w:rPr>
                <w:sz w:val="18"/>
                <w:szCs w:val="18"/>
              </w:rPr>
            </w:pPr>
          </w:p>
          <w:p w:rsidR="004D202B" w:rsidRDefault="004D202B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 коммунальных,  по обслуживанию и текущему ремонту, охраны здания по </w:t>
            </w:r>
            <w:r>
              <w:rPr>
                <w:sz w:val="18"/>
                <w:szCs w:val="18"/>
              </w:rPr>
              <w:t>адресу: г. Томск, пр. Ленина, 50.</w:t>
            </w:r>
          </w:p>
        </w:tc>
        <w:tc>
          <w:tcPr>
            <w:tcW w:w="850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01.2022</w:t>
            </w:r>
          </w:p>
        </w:tc>
        <w:tc>
          <w:tcPr>
            <w:tcW w:w="851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12.2024</w:t>
            </w:r>
          </w:p>
        </w:tc>
        <w:tc>
          <w:tcPr>
            <w:tcW w:w="1281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Областное </w:t>
            </w:r>
            <w:proofErr w:type="spellStart"/>
            <w:proofErr w:type="gramStart"/>
            <w:r>
              <w:rPr>
                <w:sz w:val="18"/>
                <w:szCs w:val="18"/>
              </w:rPr>
              <w:t>государст</w:t>
            </w:r>
            <w:proofErr w:type="spellEnd"/>
            <w:r>
              <w:rPr>
                <w:sz w:val="18"/>
                <w:szCs w:val="18"/>
              </w:rPr>
              <w:t>-венное</w:t>
            </w:r>
            <w:proofErr w:type="gramEnd"/>
            <w:r>
              <w:rPr>
                <w:sz w:val="18"/>
                <w:szCs w:val="18"/>
              </w:rPr>
              <w:t xml:space="preserve"> автономное учреждение культуры «Центр по охране и </w:t>
            </w:r>
            <w:proofErr w:type="spellStart"/>
            <w:r>
              <w:rPr>
                <w:sz w:val="18"/>
                <w:szCs w:val="18"/>
              </w:rPr>
              <w:t>использо-ванию</w:t>
            </w:r>
            <w:proofErr w:type="spellEnd"/>
            <w:r>
              <w:rPr>
                <w:sz w:val="18"/>
                <w:szCs w:val="18"/>
              </w:rPr>
              <w:t xml:space="preserve"> памятников истории и культуры»</w:t>
            </w:r>
          </w:p>
        </w:tc>
        <w:tc>
          <w:tcPr>
            <w:tcW w:w="1399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0801 1016203070 620</w:t>
            </w:r>
          </w:p>
        </w:tc>
        <w:tc>
          <w:tcPr>
            <w:tcW w:w="801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2291,8</w:t>
            </w:r>
          </w:p>
        </w:tc>
        <w:tc>
          <w:tcPr>
            <w:tcW w:w="747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2291,8</w:t>
            </w:r>
          </w:p>
        </w:tc>
        <w:tc>
          <w:tcPr>
            <w:tcW w:w="747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2291,8</w:t>
            </w:r>
          </w:p>
        </w:tc>
        <w:tc>
          <w:tcPr>
            <w:tcW w:w="1539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объема: </w:t>
            </w:r>
          </w:p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опл</w:t>
            </w:r>
            <w:r>
              <w:rPr>
                <w:sz w:val="18"/>
                <w:szCs w:val="18"/>
              </w:rPr>
              <w:t>аченных услуг по обслуживанию и ремонту здания</w:t>
            </w:r>
          </w:p>
        </w:tc>
        <w:tc>
          <w:tcPr>
            <w:tcW w:w="804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</w:t>
            </w:r>
          </w:p>
        </w:tc>
        <w:tc>
          <w:tcPr>
            <w:tcW w:w="658" w:type="dxa"/>
          </w:tcPr>
          <w:p w:rsidR="004D202B" w:rsidRDefault="00954A3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8" w:type="dxa"/>
          </w:tcPr>
          <w:p w:rsidR="004D202B" w:rsidRDefault="00954A3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8" w:type="dxa"/>
          </w:tcPr>
          <w:p w:rsidR="004D202B" w:rsidRDefault="00954A3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4D202B">
        <w:tc>
          <w:tcPr>
            <w:tcW w:w="524" w:type="dxa"/>
            <w:vAlign w:val="center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88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24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1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1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7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47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39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4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58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58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58" w:type="dxa"/>
          </w:tcPr>
          <w:p w:rsidR="004D202B" w:rsidRDefault="0095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4D202B">
        <w:trPr>
          <w:trHeight w:val="3173"/>
        </w:trPr>
        <w:tc>
          <w:tcPr>
            <w:tcW w:w="524" w:type="dxa"/>
            <w:vAlign w:val="center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88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работ по сохранению (внутренние работы, инженерные сети) объекта культурного наследия регионального значения «Пассаж Второва, нач.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> в.», по </w:t>
            </w:r>
            <w:r>
              <w:rPr>
                <w:sz w:val="18"/>
                <w:szCs w:val="18"/>
              </w:rPr>
              <w:t>адресу: г. Томск,</w:t>
            </w:r>
          </w:p>
          <w:p w:rsidR="004D202B" w:rsidRDefault="00954A3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</w:t>
            </w:r>
            <w:proofErr w:type="spellEnd"/>
            <w:r>
              <w:rPr>
                <w:sz w:val="18"/>
                <w:szCs w:val="18"/>
              </w:rPr>
              <w:t xml:space="preserve">, 111.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> этап (внутренние работы, включая инженерные сети)</w:t>
            </w:r>
          </w:p>
          <w:p w:rsidR="004D202B" w:rsidRDefault="004D202B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заключение договора на проведение  работ по сохранению (внутренние работы, инженерные сети) объекта культурного наследия </w:t>
            </w:r>
            <w:proofErr w:type="gramStart"/>
            <w:r>
              <w:rPr>
                <w:sz w:val="18"/>
                <w:szCs w:val="18"/>
              </w:rPr>
              <w:t>регионально-</w:t>
            </w:r>
            <w:proofErr w:type="spellStart"/>
            <w:r>
              <w:rPr>
                <w:sz w:val="18"/>
                <w:szCs w:val="18"/>
              </w:rPr>
              <w:t>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значения «Пассаж Второва, нач.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 в.», по адресу: г. Томск,</w:t>
            </w:r>
          </w:p>
          <w:p w:rsidR="004D202B" w:rsidRDefault="00954A3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</w:t>
            </w:r>
            <w:proofErr w:type="gramStart"/>
            <w:r>
              <w:rPr>
                <w:sz w:val="18"/>
                <w:szCs w:val="18"/>
              </w:rPr>
              <w:t>.Л</w:t>
            </w:r>
            <w:proofErr w:type="gramEnd"/>
            <w:r>
              <w:rPr>
                <w:sz w:val="18"/>
                <w:szCs w:val="18"/>
              </w:rPr>
              <w:t>енина</w:t>
            </w:r>
            <w:proofErr w:type="spellEnd"/>
            <w:r>
              <w:rPr>
                <w:sz w:val="18"/>
                <w:szCs w:val="18"/>
              </w:rPr>
              <w:t xml:space="preserve">, 111.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> этап (внутренние работы, включая инженерные сети)</w:t>
            </w:r>
          </w:p>
        </w:tc>
        <w:tc>
          <w:tcPr>
            <w:tcW w:w="850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01.2022</w:t>
            </w:r>
          </w:p>
        </w:tc>
        <w:tc>
          <w:tcPr>
            <w:tcW w:w="851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  <w:tc>
          <w:tcPr>
            <w:tcW w:w="1281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Областное </w:t>
            </w:r>
            <w:proofErr w:type="spellStart"/>
            <w:proofErr w:type="gramStart"/>
            <w:r>
              <w:rPr>
                <w:sz w:val="18"/>
                <w:szCs w:val="18"/>
              </w:rPr>
              <w:t>государст</w:t>
            </w:r>
            <w:proofErr w:type="spellEnd"/>
            <w:r>
              <w:rPr>
                <w:sz w:val="18"/>
                <w:szCs w:val="18"/>
              </w:rPr>
              <w:t>-венное</w:t>
            </w:r>
            <w:proofErr w:type="gramEnd"/>
            <w:r>
              <w:rPr>
                <w:sz w:val="18"/>
                <w:szCs w:val="18"/>
              </w:rPr>
              <w:t xml:space="preserve"> автономное учреждение культуры «Центр по охране и </w:t>
            </w:r>
            <w:proofErr w:type="spellStart"/>
            <w:r>
              <w:rPr>
                <w:sz w:val="18"/>
                <w:szCs w:val="18"/>
              </w:rPr>
              <w:t>использо-ванию</w:t>
            </w:r>
            <w:proofErr w:type="spellEnd"/>
            <w:r>
              <w:rPr>
                <w:sz w:val="18"/>
                <w:szCs w:val="18"/>
              </w:rPr>
              <w:t xml:space="preserve"> памятников истории и культуры»</w:t>
            </w:r>
          </w:p>
        </w:tc>
        <w:tc>
          <w:tcPr>
            <w:tcW w:w="1399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080 1016203070 620</w:t>
            </w:r>
          </w:p>
        </w:tc>
        <w:tc>
          <w:tcPr>
            <w:tcW w:w="801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</w:t>
            </w:r>
          </w:p>
        </w:tc>
        <w:tc>
          <w:tcPr>
            <w:tcW w:w="747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47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39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объема: количество  </w:t>
            </w:r>
            <w:proofErr w:type="gramStart"/>
            <w:r>
              <w:rPr>
                <w:sz w:val="18"/>
                <w:szCs w:val="18"/>
              </w:rPr>
              <w:t>отремонтирован-</w:t>
            </w:r>
            <w:proofErr w:type="spellStart"/>
            <w:r>
              <w:rPr>
                <w:sz w:val="18"/>
                <w:szCs w:val="18"/>
              </w:rPr>
              <w:t>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объектов</w:t>
            </w:r>
          </w:p>
        </w:tc>
        <w:tc>
          <w:tcPr>
            <w:tcW w:w="804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</w:t>
            </w:r>
          </w:p>
        </w:tc>
        <w:tc>
          <w:tcPr>
            <w:tcW w:w="658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8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58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D202B">
        <w:tc>
          <w:tcPr>
            <w:tcW w:w="524" w:type="dxa"/>
            <w:vAlign w:val="center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88" w:type="dxa"/>
          </w:tcPr>
          <w:p w:rsidR="004D202B" w:rsidRDefault="00954A3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работ по сохранению (восстановлению большого зала и крыши) объекта культурного наследия регионального значения «Театр-синематограф «Новый», 1915 г., расположенного по адресу: Томская область, г. Томск, пер. </w:t>
            </w:r>
            <w:proofErr w:type="spellStart"/>
            <w:r>
              <w:rPr>
                <w:sz w:val="18"/>
                <w:szCs w:val="18"/>
              </w:rPr>
              <w:t>Нахановича</w:t>
            </w:r>
            <w:proofErr w:type="spellEnd"/>
            <w:r>
              <w:rPr>
                <w:sz w:val="18"/>
                <w:szCs w:val="18"/>
              </w:rPr>
              <w:t>, 4</w:t>
            </w:r>
          </w:p>
        </w:tc>
        <w:tc>
          <w:tcPr>
            <w:tcW w:w="1724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заключение договора на п</w:t>
            </w:r>
            <w:r>
              <w:rPr>
                <w:sz w:val="18"/>
                <w:szCs w:val="18"/>
              </w:rPr>
              <w:t>роведение  работ по сохранению (восстановлению большого зала и крыши) объекта культурного наследия регионального значения «Театр-</w:t>
            </w:r>
            <w:proofErr w:type="spellStart"/>
            <w:r>
              <w:rPr>
                <w:sz w:val="18"/>
                <w:szCs w:val="18"/>
              </w:rPr>
              <w:t>синематог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раф</w:t>
            </w:r>
            <w:proofErr w:type="spellEnd"/>
            <w:r>
              <w:rPr>
                <w:sz w:val="18"/>
                <w:szCs w:val="18"/>
              </w:rPr>
              <w:t xml:space="preserve"> «Новый» 1915 </w:t>
            </w:r>
            <w:proofErr w:type="spellStart"/>
            <w:r>
              <w:rPr>
                <w:sz w:val="18"/>
                <w:szCs w:val="18"/>
              </w:rPr>
              <w:t>А.И.Лангер</w:t>
            </w:r>
            <w:proofErr w:type="spellEnd"/>
            <w:r>
              <w:rPr>
                <w:sz w:val="18"/>
                <w:szCs w:val="18"/>
              </w:rPr>
              <w:t xml:space="preserve">», расположенного по адресу: г. Томск, пер. </w:t>
            </w:r>
            <w:proofErr w:type="spellStart"/>
            <w:r>
              <w:rPr>
                <w:sz w:val="18"/>
                <w:szCs w:val="18"/>
              </w:rPr>
              <w:t>Нахановича</w:t>
            </w:r>
            <w:proofErr w:type="spellEnd"/>
            <w:r>
              <w:rPr>
                <w:sz w:val="18"/>
                <w:szCs w:val="18"/>
              </w:rPr>
              <w:t>, 4</w:t>
            </w:r>
          </w:p>
        </w:tc>
        <w:tc>
          <w:tcPr>
            <w:tcW w:w="850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01.2022</w:t>
            </w:r>
          </w:p>
        </w:tc>
        <w:tc>
          <w:tcPr>
            <w:tcW w:w="851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12.2022</w:t>
            </w:r>
          </w:p>
        </w:tc>
        <w:tc>
          <w:tcPr>
            <w:tcW w:w="1281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Областное </w:t>
            </w:r>
            <w:proofErr w:type="spellStart"/>
            <w:proofErr w:type="gramStart"/>
            <w:r>
              <w:rPr>
                <w:sz w:val="18"/>
                <w:szCs w:val="18"/>
              </w:rPr>
              <w:t>госуда</w:t>
            </w:r>
            <w:r>
              <w:rPr>
                <w:sz w:val="18"/>
                <w:szCs w:val="18"/>
              </w:rPr>
              <w:t>рст</w:t>
            </w:r>
            <w:proofErr w:type="spellEnd"/>
            <w:r>
              <w:rPr>
                <w:sz w:val="18"/>
                <w:szCs w:val="18"/>
              </w:rPr>
              <w:t>-венное</w:t>
            </w:r>
            <w:proofErr w:type="gramEnd"/>
            <w:r>
              <w:rPr>
                <w:sz w:val="18"/>
                <w:szCs w:val="18"/>
              </w:rPr>
              <w:t xml:space="preserve"> автономное учреждение культуры «Центр по охране и </w:t>
            </w:r>
            <w:proofErr w:type="spellStart"/>
            <w:r>
              <w:rPr>
                <w:sz w:val="18"/>
                <w:szCs w:val="18"/>
              </w:rPr>
              <w:t>использо-ванию</w:t>
            </w:r>
            <w:proofErr w:type="spellEnd"/>
            <w:r>
              <w:rPr>
                <w:sz w:val="18"/>
                <w:szCs w:val="18"/>
              </w:rPr>
              <w:t xml:space="preserve"> памятников истории и культуры»</w:t>
            </w:r>
          </w:p>
        </w:tc>
        <w:tc>
          <w:tcPr>
            <w:tcW w:w="1399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080 1016203070 620</w:t>
            </w:r>
          </w:p>
        </w:tc>
        <w:tc>
          <w:tcPr>
            <w:tcW w:w="801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</w:t>
            </w:r>
          </w:p>
        </w:tc>
        <w:tc>
          <w:tcPr>
            <w:tcW w:w="747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47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39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объема: количество  </w:t>
            </w:r>
            <w:proofErr w:type="gramStart"/>
            <w:r>
              <w:rPr>
                <w:sz w:val="18"/>
                <w:szCs w:val="18"/>
              </w:rPr>
              <w:t>отремонтирован-</w:t>
            </w:r>
            <w:proofErr w:type="spellStart"/>
            <w:r>
              <w:rPr>
                <w:sz w:val="18"/>
                <w:szCs w:val="18"/>
              </w:rPr>
              <w:t>ных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объектов</w:t>
            </w:r>
          </w:p>
        </w:tc>
        <w:tc>
          <w:tcPr>
            <w:tcW w:w="804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</w:t>
            </w:r>
          </w:p>
        </w:tc>
        <w:tc>
          <w:tcPr>
            <w:tcW w:w="658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8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58" w:type="dxa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D202B">
        <w:tc>
          <w:tcPr>
            <w:tcW w:w="9118" w:type="dxa"/>
            <w:gridSpan w:val="8"/>
            <w:vAlign w:val="center"/>
          </w:tcPr>
          <w:p w:rsidR="004D202B" w:rsidRDefault="00954A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ВЦП                                                                                                                                                      101 500,7</w:t>
            </w:r>
          </w:p>
        </w:tc>
        <w:tc>
          <w:tcPr>
            <w:tcW w:w="747" w:type="dxa"/>
            <w:vAlign w:val="center"/>
          </w:tcPr>
          <w:p w:rsidR="004D202B" w:rsidRDefault="00954A36">
            <w:pPr>
              <w:ind w:left="-57" w:right="-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11 500,7</w:t>
            </w:r>
          </w:p>
        </w:tc>
        <w:tc>
          <w:tcPr>
            <w:tcW w:w="747" w:type="dxa"/>
            <w:vAlign w:val="center"/>
          </w:tcPr>
          <w:p w:rsidR="004D202B" w:rsidRDefault="00954A36">
            <w:pPr>
              <w:ind w:left="-57" w:right="-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11 500,7</w:t>
            </w:r>
          </w:p>
        </w:tc>
        <w:tc>
          <w:tcPr>
            <w:tcW w:w="1539" w:type="dxa"/>
          </w:tcPr>
          <w:p w:rsidR="004D202B" w:rsidRDefault="004D20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</w:tcPr>
          <w:p w:rsidR="004D202B" w:rsidRDefault="004D20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8" w:type="dxa"/>
          </w:tcPr>
          <w:p w:rsidR="004D202B" w:rsidRDefault="004D20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8" w:type="dxa"/>
          </w:tcPr>
          <w:p w:rsidR="004D202B" w:rsidRDefault="004D20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8" w:type="dxa"/>
          </w:tcPr>
          <w:p w:rsidR="004D202B" w:rsidRDefault="004D202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D202B" w:rsidRDefault="004D202B">
      <w:pPr>
        <w:ind w:left="10206"/>
        <w:rPr>
          <w:sz w:val="26"/>
          <w:szCs w:val="26"/>
        </w:rPr>
      </w:pPr>
    </w:p>
    <w:p w:rsidR="004D202B" w:rsidRDefault="004D202B">
      <w:pPr>
        <w:ind w:left="10206"/>
        <w:rPr>
          <w:sz w:val="26"/>
          <w:szCs w:val="26"/>
        </w:rPr>
      </w:pPr>
    </w:p>
    <w:p w:rsidR="004D202B" w:rsidRDefault="004D202B">
      <w:pPr>
        <w:ind w:left="10206"/>
        <w:rPr>
          <w:sz w:val="26"/>
          <w:szCs w:val="26"/>
        </w:rPr>
      </w:pPr>
    </w:p>
    <w:p w:rsidR="004D202B" w:rsidRDefault="004D202B">
      <w:pPr>
        <w:ind w:left="10206"/>
        <w:rPr>
          <w:sz w:val="26"/>
          <w:szCs w:val="26"/>
        </w:rPr>
      </w:pPr>
    </w:p>
    <w:p w:rsidR="004D202B" w:rsidRDefault="004D202B">
      <w:pPr>
        <w:ind w:left="10206"/>
        <w:rPr>
          <w:sz w:val="26"/>
          <w:szCs w:val="26"/>
        </w:rPr>
      </w:pPr>
    </w:p>
    <w:p w:rsidR="004D202B" w:rsidRDefault="004D202B">
      <w:pPr>
        <w:ind w:left="10206"/>
        <w:rPr>
          <w:sz w:val="26"/>
          <w:szCs w:val="26"/>
        </w:rPr>
      </w:pPr>
    </w:p>
    <w:p w:rsidR="004D202B" w:rsidRDefault="00954A36">
      <w:pPr>
        <w:ind w:left="10206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4D202B" w:rsidRDefault="00954A36">
      <w:pPr>
        <w:ind w:left="10206"/>
        <w:rPr>
          <w:sz w:val="26"/>
          <w:szCs w:val="26"/>
        </w:rPr>
      </w:pPr>
      <w:r>
        <w:rPr>
          <w:sz w:val="26"/>
          <w:szCs w:val="26"/>
        </w:rPr>
        <w:t>к В</w:t>
      </w:r>
      <w:r>
        <w:rPr>
          <w:sz w:val="26"/>
          <w:szCs w:val="26"/>
        </w:rPr>
        <w:t>едомственной целевой программе «Сохранение, использование, популяризация объектов культурного наследия (памятников истории и культуры), расположенных на территории Томской области»</w:t>
      </w:r>
    </w:p>
    <w:tbl>
      <w:tblPr>
        <w:tblW w:w="150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8"/>
        <w:gridCol w:w="1465"/>
        <w:gridCol w:w="2702"/>
        <w:gridCol w:w="1701"/>
        <w:gridCol w:w="1703"/>
        <w:gridCol w:w="1704"/>
        <w:gridCol w:w="855"/>
        <w:gridCol w:w="851"/>
        <w:gridCol w:w="850"/>
        <w:gridCol w:w="851"/>
        <w:gridCol w:w="850"/>
        <w:gridCol w:w="841"/>
        <w:gridCol w:w="10"/>
      </w:tblGrid>
      <w:tr w:rsidR="004D202B">
        <w:trPr>
          <w:gridAfter w:val="1"/>
          <w:wAfter w:w="10" w:type="dxa"/>
          <w:trHeight w:val="1500"/>
        </w:trPr>
        <w:tc>
          <w:tcPr>
            <w:tcW w:w="15041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Сводная информация об объемах государственных услуг (работ), оказываемых (</w:t>
            </w:r>
            <w:r>
              <w:rPr>
                <w:bCs/>
                <w:color w:val="000000"/>
                <w:sz w:val="26"/>
                <w:szCs w:val="26"/>
              </w:rPr>
              <w:t xml:space="preserve">выполняемых) </w:t>
            </w:r>
            <w:r>
              <w:rPr>
                <w:bCs/>
                <w:color w:val="000000"/>
                <w:sz w:val="26"/>
                <w:szCs w:val="26"/>
              </w:rPr>
              <w:br/>
              <w:t>областным государственным автономным учреждением культуры «Центр по охране и использованию памятников истории и культуры» в соответствии с государственным заданием, в рамках реализации ВЦП</w:t>
            </w:r>
          </w:p>
        </w:tc>
      </w:tr>
      <w:tr w:rsidR="004D202B">
        <w:trPr>
          <w:trHeight w:val="908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br/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государственной услуги (работы)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государственной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Условия оказания государственной услуги (выполнения работы)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Областные государственные учреждения, оказывающие государственную услугу (выполняющие работу)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и единица измерения показателей объема государ</w:t>
            </w:r>
            <w:r>
              <w:rPr>
                <w:color w:val="000000"/>
                <w:sz w:val="18"/>
                <w:szCs w:val="18"/>
              </w:rPr>
              <w:t>ственной услуги (работы)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Значения показателя объема государственной услуги (работы)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бюджетных ассигнований</w:t>
            </w:r>
            <w:r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4D202B">
        <w:trPr>
          <w:trHeight w:val="68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202B" w:rsidRDefault="004D20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202B" w:rsidRDefault="004D20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202B" w:rsidRDefault="004D20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202B" w:rsidRDefault="004D20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202B" w:rsidRDefault="004D20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202B" w:rsidRDefault="004D20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2B" w:rsidRDefault="00954A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 год</w:t>
            </w:r>
          </w:p>
        </w:tc>
      </w:tr>
      <w:tr w:rsidR="004D202B">
        <w:trPr>
          <w:trHeight w:val="435"/>
        </w:trPr>
        <w:tc>
          <w:tcPr>
            <w:tcW w:w="6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383" w:type="dxa"/>
            <w:gridSpan w:val="1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Государственные работы</w:t>
            </w:r>
          </w:p>
        </w:tc>
      </w:tr>
      <w:tr w:rsidR="004D202B">
        <w:trPr>
          <w:trHeight w:val="96"/>
        </w:trPr>
        <w:tc>
          <w:tcPr>
            <w:tcW w:w="6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сохранения и использования объектов культурного наследия</w:t>
            </w:r>
            <w:r>
              <w:rPr>
                <w:color w:val="000000"/>
                <w:sz w:val="18"/>
                <w:szCs w:val="18"/>
              </w:rPr>
              <w:br/>
              <w:t>(далее-ОКН)</w:t>
            </w:r>
          </w:p>
        </w:tc>
        <w:tc>
          <w:tcPr>
            <w:tcW w:w="2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обеспечение полноты и достоверности учета ОКН;</w:t>
            </w:r>
            <w:r>
              <w:rPr>
                <w:color w:val="000000"/>
                <w:sz w:val="18"/>
                <w:szCs w:val="18"/>
              </w:rPr>
              <w:br/>
              <w:t>2) мониторинг ОКН;</w:t>
            </w:r>
            <w:r>
              <w:rPr>
                <w:color w:val="000000"/>
                <w:sz w:val="18"/>
                <w:szCs w:val="18"/>
              </w:rPr>
              <w:br/>
              <w:t>3) сохранение ОКН;</w:t>
            </w:r>
            <w:r>
              <w:rPr>
                <w:color w:val="000000"/>
                <w:sz w:val="18"/>
                <w:szCs w:val="18"/>
              </w:rPr>
              <w:br/>
              <w:t>4) осуществление функции заказчика в отношении ОКН;</w:t>
            </w:r>
            <w:r>
              <w:rPr>
                <w:color w:val="000000"/>
                <w:sz w:val="18"/>
                <w:szCs w:val="18"/>
              </w:rPr>
              <w:br/>
              <w:t>5) популяризация ОКН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плановой фор</w:t>
            </w:r>
            <w:r>
              <w:rPr>
                <w:color w:val="000000"/>
                <w:sz w:val="18"/>
                <w:szCs w:val="18"/>
              </w:rPr>
              <w:t>ме</w:t>
            </w:r>
          </w:p>
        </w:tc>
        <w:tc>
          <w:tcPr>
            <w:tcW w:w="17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Областное государственное автономное учреждение культуры «Центр по охране и использованию памятников истории и культуры»</w:t>
            </w: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ОКН (единиц)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9201,6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9201,6</w:t>
            </w: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2B" w:rsidRDefault="00954A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9201,6</w:t>
            </w:r>
          </w:p>
        </w:tc>
      </w:tr>
      <w:tr w:rsidR="004D202B">
        <w:trPr>
          <w:trHeight w:val="255"/>
        </w:trPr>
        <w:tc>
          <w:tcPr>
            <w:tcW w:w="12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Затраты на уплату налогов, в качестве </w:t>
            </w:r>
            <w:proofErr w:type="spellStart"/>
            <w:r>
              <w:rPr>
                <w:sz w:val="18"/>
                <w:szCs w:val="18"/>
              </w:rPr>
              <w:t>налогооблажения</w:t>
            </w:r>
            <w:proofErr w:type="spellEnd"/>
            <w:r>
              <w:rPr>
                <w:sz w:val="18"/>
                <w:szCs w:val="18"/>
              </w:rPr>
              <w:t xml:space="preserve"> по которым признается имущество областных государственных учреждений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</w:tr>
      <w:tr w:rsidR="004D202B">
        <w:trPr>
          <w:trHeight w:val="255"/>
        </w:trPr>
        <w:tc>
          <w:tcPr>
            <w:tcW w:w="12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9208,9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9208,9</w:t>
            </w:r>
          </w:p>
        </w:tc>
        <w:tc>
          <w:tcPr>
            <w:tcW w:w="85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02B" w:rsidRDefault="00954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9208,9</w:t>
            </w:r>
          </w:p>
        </w:tc>
      </w:tr>
    </w:tbl>
    <w:p w:rsidR="004D202B" w:rsidRDefault="004D202B">
      <w:pPr>
        <w:rPr>
          <w:sz w:val="26"/>
          <w:szCs w:val="26"/>
        </w:rPr>
      </w:pPr>
    </w:p>
    <w:sectPr w:rsidR="004D202B">
      <w:headerReference w:type="first" r:id="rId17"/>
      <w:pgSz w:w="16840" w:h="11907" w:orient="landscape"/>
      <w:pgMar w:top="1701" w:right="1134" w:bottom="851" w:left="1134" w:header="567" w:footer="272" w:gutter="0"/>
      <w:pgNumType w:start="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2B" w:rsidRDefault="00954A36">
      <w:r>
        <w:separator/>
      </w:r>
    </w:p>
  </w:endnote>
  <w:endnote w:type="continuationSeparator" w:id="0">
    <w:p w:rsidR="004D202B" w:rsidRDefault="0095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2B" w:rsidRDefault="004D202B">
    <w:pPr>
      <w:pStyle w:val="af4"/>
      <w:framePr w:wrap="around" w:vAnchor="text" w:hAnchor="margin" w:xAlign="center" w:y="1"/>
      <w:rPr>
        <w:rStyle w:val="af7"/>
      </w:rPr>
    </w:pPr>
  </w:p>
  <w:p w:rsidR="004D202B" w:rsidRDefault="004D202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2B" w:rsidRDefault="00954A36">
      <w:r>
        <w:separator/>
      </w:r>
    </w:p>
  </w:footnote>
  <w:footnote w:type="continuationSeparator" w:id="0">
    <w:p w:rsidR="004D202B" w:rsidRDefault="00954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548046"/>
      <w:docPartObj>
        <w:docPartGallery w:val="Page Numbers (Top of Page)"/>
        <w:docPartUnique/>
      </w:docPartObj>
    </w:sdtPr>
    <w:sdtEndPr/>
    <w:sdtContent>
      <w:p w:rsidR="004D202B" w:rsidRDefault="00954A3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D202B" w:rsidRDefault="004D202B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2B" w:rsidRDefault="00954A36">
    <w:pPr>
      <w:tabs>
        <w:tab w:val="left" w:pos="1072"/>
        <w:tab w:val="center" w:pos="4677"/>
      </w:tabs>
      <w:spacing w:after="120"/>
      <w:rPr>
        <w:b/>
        <w:lang w:val="en-US"/>
      </w:rPr>
    </w:pPr>
    <w:r>
      <w:rPr>
        <w:b/>
        <w:lang w:val="en-US"/>
      </w:rPr>
      <w:tab/>
    </w:r>
    <w:r>
      <w:rPr>
        <w:b/>
        <w:lang w:val="en-US"/>
      </w:rPr>
      <w:tab/>
    </w:r>
    <w:r>
      <w:rPr>
        <w:noProof/>
      </w:rPr>
      <mc:AlternateContent>
        <mc:Choice Requires="wpg">
          <w:drawing>
            <wp:inline distT="0" distB="0" distL="0" distR="0">
              <wp:extent cx="711200" cy="647700"/>
              <wp:effectExtent l="19050" t="0" r="0" b="0"/>
              <wp:docPr id="1" name="Рисунок 2" descr="GerbTOug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GerbTOugl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1120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6.0pt;height:51.0pt;" stroked="f" strokeweight="0.75pt">
              <v:path textboxrect="0,0,0,0"/>
              <v:imagedata r:id="rId2" o:title=""/>
            </v:shape>
          </w:pict>
        </mc:Fallback>
      </mc:AlternateContent>
    </w:r>
  </w:p>
  <w:tbl>
    <w:tblPr>
      <w:tblW w:w="9356" w:type="dxa"/>
      <w:tblInd w:w="108" w:type="dxa"/>
      <w:tblLayout w:type="fixed"/>
      <w:tblLook w:val="0000" w:firstRow="0" w:lastRow="0" w:firstColumn="0" w:lastColumn="0" w:noHBand="0" w:noVBand="0"/>
    </w:tblPr>
    <w:tblGrid>
      <w:gridCol w:w="9356"/>
    </w:tblGrid>
    <w:tr w:rsidR="004D202B">
      <w:trPr>
        <w:trHeight w:val="567"/>
      </w:trPr>
      <w:tc>
        <w:tcPr>
          <w:tcW w:w="9356" w:type="dxa"/>
        </w:tcPr>
        <w:p w:rsidR="004D202B" w:rsidRDefault="00954A36">
          <w:pPr>
            <w:pStyle w:val="af2"/>
            <w:spacing w:line="360" w:lineRule="exact"/>
            <w:jc w:val="center"/>
            <w:rPr>
              <w:rFonts w:ascii="PT Astra Serif" w:hAnsi="PT Astra Serif"/>
              <w:b/>
              <w:bCs/>
              <w:sz w:val="28"/>
              <w:szCs w:val="28"/>
            </w:rPr>
          </w:pPr>
          <w:r>
            <w:rPr>
              <w:rFonts w:ascii="PT Astra Serif" w:hAnsi="PT Astra Serif"/>
              <w:b/>
              <w:bCs/>
              <w:sz w:val="28"/>
              <w:szCs w:val="28"/>
            </w:rPr>
            <w:t>КОМИТЕТ ПО ОХРАНЕ ОБЪЕКТОВ КУЛЬТУРНОГО НАСЛЕДИЯ ТОМСКОЙ ОБЛАСТИ</w:t>
          </w:r>
        </w:p>
        <w:p w:rsidR="004D202B" w:rsidRDefault="004D202B">
          <w:pPr>
            <w:pStyle w:val="2"/>
            <w:jc w:val="center"/>
            <w:rPr>
              <w:rFonts w:ascii="PT Astra Serif" w:hAnsi="PT Astra Serif"/>
              <w:b/>
              <w:sz w:val="24"/>
              <w:szCs w:val="24"/>
            </w:rPr>
          </w:pPr>
        </w:p>
      </w:tc>
    </w:tr>
    <w:tr w:rsidR="004D202B">
      <w:trPr>
        <w:trHeight w:val="567"/>
      </w:trPr>
      <w:tc>
        <w:tcPr>
          <w:tcW w:w="9356" w:type="dxa"/>
        </w:tcPr>
        <w:p w:rsidR="004D202B" w:rsidRDefault="00954A36">
          <w:pPr>
            <w:pStyle w:val="3"/>
            <w:tabs>
              <w:tab w:val="left" w:pos="3660"/>
              <w:tab w:val="center" w:pos="4570"/>
            </w:tabs>
            <w:jc w:val="center"/>
            <w:rPr>
              <w:rFonts w:ascii="PT Astra Serif" w:hAnsi="PT Astra Serif"/>
              <w:spacing w:val="40"/>
              <w:sz w:val="28"/>
              <w:szCs w:val="36"/>
            </w:rPr>
          </w:pPr>
          <w:r>
            <w:rPr>
              <w:rFonts w:ascii="PT Astra Serif" w:hAnsi="PT Astra Serif"/>
              <w:spacing w:val="40"/>
              <w:sz w:val="36"/>
              <w:szCs w:val="36"/>
            </w:rPr>
            <w:t>ПРИКАЗ</w:t>
          </w:r>
        </w:p>
      </w:tc>
    </w:tr>
  </w:tbl>
  <w:p w:rsidR="004D202B" w:rsidRDefault="00954A36">
    <w:pPr>
      <w:pStyle w:val="af2"/>
      <w:rPr>
        <w:sz w:val="6"/>
        <w:szCs w:val="6"/>
        <w:lang w:val="en-US"/>
      </w:rPr>
    </w:pPr>
    <w:r>
      <w:rPr>
        <w:sz w:val="6"/>
        <w:szCs w:val="6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2B" w:rsidRDefault="00954A36">
    <w:pPr>
      <w:pStyle w:val="af2"/>
      <w:jc w:val="center"/>
      <w:rPr>
        <w:rFonts w:ascii="PT Astra Serif" w:hAnsi="PT Astra Serif"/>
        <w:sz w:val="26"/>
        <w:szCs w:val="26"/>
      </w:rPr>
    </w:pPr>
    <w:r>
      <w:rPr>
        <w:rFonts w:ascii="PT Astra Serif" w:hAnsi="PT Astra Serif"/>
        <w:sz w:val="26"/>
        <w:szCs w:val="26"/>
      </w:rPr>
      <w:t>2</w:t>
    </w:r>
  </w:p>
  <w:p w:rsidR="004D202B" w:rsidRDefault="004D202B">
    <w:pPr>
      <w:pStyle w:val="af2"/>
      <w:jc w:val="center"/>
      <w:rPr>
        <w:rFonts w:ascii="PT Astra Serif" w:hAnsi="PT Astra Serif"/>
        <w:sz w:val="26"/>
        <w:szCs w:val="2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954609"/>
      <w:docPartObj>
        <w:docPartGallery w:val="Page Numbers (Top of Page)"/>
        <w:docPartUnique/>
      </w:docPartObj>
    </w:sdtPr>
    <w:sdtEndPr/>
    <w:sdtContent>
      <w:p w:rsidR="004D202B" w:rsidRDefault="00954A36">
        <w:pPr>
          <w:pStyle w:val="af2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>PAGE   \* MERGEFORMAT</w:instrText>
        </w:r>
        <w:r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11</w:t>
        </w:r>
        <w:r>
          <w:rPr>
            <w:sz w:val="26"/>
            <w:szCs w:val="26"/>
          </w:rPr>
          <w:fldChar w:fldCharType="end"/>
        </w:r>
      </w:p>
    </w:sdtContent>
  </w:sdt>
  <w:p w:rsidR="004D202B" w:rsidRDefault="004D202B">
    <w:pPr>
      <w:pStyle w:val="af2"/>
      <w:jc w:val="center"/>
      <w:rPr>
        <w:rFonts w:ascii="PT Astra Serif" w:hAnsi="PT Astra Serif"/>
        <w:sz w:val="26"/>
        <w:szCs w:val="2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6"/>
        <w:szCs w:val="26"/>
      </w:rPr>
      <w:id w:val="1013954856"/>
      <w:docPartObj>
        <w:docPartGallery w:val="Page Numbers (Top of Page)"/>
        <w:docPartUnique/>
      </w:docPartObj>
    </w:sdtPr>
    <w:sdtEndPr/>
    <w:sdtContent>
      <w:p w:rsidR="004D202B" w:rsidRDefault="00954A36">
        <w:pPr>
          <w:pStyle w:val="af2"/>
          <w:jc w:val="center"/>
          <w:rPr>
            <w:rFonts w:ascii="PT Astra Serif" w:hAnsi="PT Astra Serif"/>
            <w:sz w:val="26"/>
            <w:szCs w:val="26"/>
          </w:rPr>
        </w:pPr>
        <w:r>
          <w:rPr>
            <w:rFonts w:ascii="PT Astra Serif" w:hAnsi="PT Astra Serif"/>
            <w:sz w:val="26"/>
            <w:szCs w:val="26"/>
          </w:rPr>
          <w:fldChar w:fldCharType="begin"/>
        </w:r>
        <w:r>
          <w:rPr>
            <w:rFonts w:ascii="PT Astra Serif" w:hAnsi="PT Astra Serif"/>
            <w:sz w:val="26"/>
            <w:szCs w:val="26"/>
          </w:rPr>
          <w:instrText>PAGE   \* MERGEFORMAT</w:instrText>
        </w:r>
        <w:r>
          <w:rPr>
            <w:rFonts w:ascii="PT Astra Serif" w:hAnsi="PT Astra Serif"/>
            <w:sz w:val="26"/>
            <w:szCs w:val="26"/>
          </w:rPr>
          <w:fldChar w:fldCharType="separate"/>
        </w:r>
        <w:r>
          <w:rPr>
            <w:rFonts w:ascii="PT Astra Serif" w:hAnsi="PT Astra Serif"/>
            <w:noProof/>
            <w:sz w:val="26"/>
            <w:szCs w:val="26"/>
          </w:rPr>
          <w:t>6</w:t>
        </w:r>
        <w:r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:rsidR="004D202B" w:rsidRDefault="004D202B">
    <w:pPr>
      <w:pStyle w:val="af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391749"/>
      <w:docPartObj>
        <w:docPartGallery w:val="Page Numbers (Top of Page)"/>
        <w:docPartUnique/>
      </w:docPartObj>
    </w:sdtPr>
    <w:sdtEndPr/>
    <w:sdtContent>
      <w:p w:rsidR="004D202B" w:rsidRDefault="00954A36">
        <w:pPr>
          <w:pStyle w:val="af2"/>
          <w:jc w:val="center"/>
        </w:pPr>
        <w:r>
          <w:rPr>
            <w:rFonts w:ascii="PT Astra Serif" w:hAnsi="PT Astra Serif"/>
            <w:sz w:val="26"/>
            <w:szCs w:val="26"/>
          </w:rPr>
          <w:fldChar w:fldCharType="begin"/>
        </w:r>
        <w:r>
          <w:rPr>
            <w:rFonts w:ascii="PT Astra Serif" w:hAnsi="PT Astra Serif"/>
            <w:sz w:val="26"/>
            <w:szCs w:val="26"/>
          </w:rPr>
          <w:instrText>PAGE   \* MERGEFORMAT</w:instrText>
        </w:r>
        <w:r>
          <w:rPr>
            <w:rFonts w:ascii="PT Astra Serif" w:hAnsi="PT Astra Serif"/>
            <w:sz w:val="26"/>
            <w:szCs w:val="26"/>
          </w:rPr>
          <w:fldChar w:fldCharType="separate"/>
        </w:r>
        <w:r>
          <w:rPr>
            <w:rFonts w:ascii="PT Astra Serif" w:hAnsi="PT Astra Serif"/>
            <w:sz w:val="26"/>
            <w:szCs w:val="26"/>
          </w:rPr>
          <w:t>10</w:t>
        </w:r>
        <w:r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:rsidR="004D202B" w:rsidRDefault="004D202B">
    <w:pPr>
      <w:pStyle w:val="af2"/>
      <w:jc w:val="center"/>
      <w:rPr>
        <w:rFonts w:ascii="PT Astra Serif" w:hAnsi="PT Astra Serif"/>
        <w:sz w:val="26"/>
        <w:szCs w:val="26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975197"/>
      <w:docPartObj>
        <w:docPartGallery w:val="Page Numbers (Top of Page)"/>
        <w:docPartUnique/>
      </w:docPartObj>
    </w:sdtPr>
    <w:sdtEndPr/>
    <w:sdtContent>
      <w:p w:rsidR="004D202B" w:rsidRDefault="00954A36">
        <w:pPr>
          <w:pStyle w:val="af2"/>
          <w:jc w:val="center"/>
        </w:pPr>
        <w:r>
          <w:rPr>
            <w:rFonts w:ascii="PT Astra Serif" w:hAnsi="PT Astra Serif"/>
            <w:sz w:val="26"/>
            <w:szCs w:val="26"/>
          </w:rPr>
          <w:fldChar w:fldCharType="begin"/>
        </w:r>
        <w:r>
          <w:rPr>
            <w:rFonts w:ascii="PT Astra Serif" w:hAnsi="PT Astra Serif"/>
            <w:sz w:val="26"/>
            <w:szCs w:val="26"/>
          </w:rPr>
          <w:instrText>PAGE   \* MERGEFORMAT</w:instrText>
        </w:r>
        <w:r>
          <w:rPr>
            <w:rFonts w:ascii="PT Astra Serif" w:hAnsi="PT Astra Serif"/>
            <w:sz w:val="26"/>
            <w:szCs w:val="26"/>
          </w:rPr>
          <w:fldChar w:fldCharType="separate"/>
        </w:r>
        <w:r>
          <w:rPr>
            <w:rFonts w:ascii="PT Astra Serif" w:hAnsi="PT Astra Serif"/>
            <w:noProof/>
            <w:sz w:val="26"/>
            <w:szCs w:val="26"/>
          </w:rPr>
          <w:t>8</w:t>
        </w:r>
        <w:r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:rsidR="004D202B" w:rsidRDefault="004D202B">
    <w:pPr>
      <w:tabs>
        <w:tab w:val="left" w:pos="8296"/>
      </w:tabs>
      <w:spacing w:after="120"/>
      <w:rPr>
        <w:rFonts w:ascii="PT Astra Serif" w:hAnsi="PT Astra Serif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90A28"/>
    <w:multiLevelType w:val="hybridMultilevel"/>
    <w:tmpl w:val="961C3E4A"/>
    <w:lvl w:ilvl="0" w:tplc="26A29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CC15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08A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88C3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74EE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9AC1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2E21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CC06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6031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D3372"/>
    <w:multiLevelType w:val="hybridMultilevel"/>
    <w:tmpl w:val="AD32D0DA"/>
    <w:lvl w:ilvl="0" w:tplc="B716502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6C28C320">
      <w:start w:val="1"/>
      <w:numFmt w:val="lowerLetter"/>
      <w:lvlText w:val="%2."/>
      <w:lvlJc w:val="left"/>
      <w:pPr>
        <w:ind w:left="1647" w:hanging="360"/>
      </w:pPr>
    </w:lvl>
    <w:lvl w:ilvl="2" w:tplc="1ACEAABE">
      <w:start w:val="1"/>
      <w:numFmt w:val="lowerRoman"/>
      <w:lvlText w:val="%3."/>
      <w:lvlJc w:val="right"/>
      <w:pPr>
        <w:ind w:left="2367" w:hanging="180"/>
      </w:pPr>
    </w:lvl>
    <w:lvl w:ilvl="3" w:tplc="EB04A256">
      <w:start w:val="1"/>
      <w:numFmt w:val="decimal"/>
      <w:lvlText w:val="%4."/>
      <w:lvlJc w:val="left"/>
      <w:pPr>
        <w:ind w:left="3087" w:hanging="360"/>
      </w:pPr>
    </w:lvl>
    <w:lvl w:ilvl="4" w:tplc="424E3D62">
      <w:start w:val="1"/>
      <w:numFmt w:val="lowerLetter"/>
      <w:lvlText w:val="%5."/>
      <w:lvlJc w:val="left"/>
      <w:pPr>
        <w:ind w:left="3807" w:hanging="360"/>
      </w:pPr>
    </w:lvl>
    <w:lvl w:ilvl="5" w:tplc="2C6A59E4">
      <w:start w:val="1"/>
      <w:numFmt w:val="lowerRoman"/>
      <w:lvlText w:val="%6."/>
      <w:lvlJc w:val="right"/>
      <w:pPr>
        <w:ind w:left="4527" w:hanging="180"/>
      </w:pPr>
    </w:lvl>
    <w:lvl w:ilvl="6" w:tplc="1D0A8EA8">
      <w:start w:val="1"/>
      <w:numFmt w:val="decimal"/>
      <w:lvlText w:val="%7."/>
      <w:lvlJc w:val="left"/>
      <w:pPr>
        <w:ind w:left="5247" w:hanging="360"/>
      </w:pPr>
    </w:lvl>
    <w:lvl w:ilvl="7" w:tplc="4FBAE41C">
      <w:start w:val="1"/>
      <w:numFmt w:val="lowerLetter"/>
      <w:lvlText w:val="%8."/>
      <w:lvlJc w:val="left"/>
      <w:pPr>
        <w:ind w:left="5967" w:hanging="360"/>
      </w:pPr>
    </w:lvl>
    <w:lvl w:ilvl="8" w:tplc="C764D6A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944406"/>
    <w:multiLevelType w:val="hybridMultilevel"/>
    <w:tmpl w:val="A13AB148"/>
    <w:lvl w:ilvl="0" w:tplc="CBEA44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D7666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FC5C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9AA0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10F76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A490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FC94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62CC6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F27F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E03C28"/>
    <w:multiLevelType w:val="hybridMultilevel"/>
    <w:tmpl w:val="0F1ABE1A"/>
    <w:lvl w:ilvl="0" w:tplc="845651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26D8DE">
      <w:start w:val="1"/>
      <w:numFmt w:val="lowerLetter"/>
      <w:lvlText w:val="%2."/>
      <w:lvlJc w:val="left"/>
      <w:pPr>
        <w:ind w:left="1440" w:hanging="360"/>
      </w:pPr>
    </w:lvl>
    <w:lvl w:ilvl="2" w:tplc="40461A3A">
      <w:start w:val="1"/>
      <w:numFmt w:val="lowerRoman"/>
      <w:lvlText w:val="%3."/>
      <w:lvlJc w:val="right"/>
      <w:pPr>
        <w:ind w:left="2160" w:hanging="180"/>
      </w:pPr>
    </w:lvl>
    <w:lvl w:ilvl="3" w:tplc="A15E0D10">
      <w:start w:val="1"/>
      <w:numFmt w:val="decimal"/>
      <w:lvlText w:val="%4."/>
      <w:lvlJc w:val="left"/>
      <w:pPr>
        <w:ind w:left="2880" w:hanging="360"/>
      </w:pPr>
    </w:lvl>
    <w:lvl w:ilvl="4" w:tplc="7E5022C2">
      <w:start w:val="1"/>
      <w:numFmt w:val="lowerLetter"/>
      <w:lvlText w:val="%5."/>
      <w:lvlJc w:val="left"/>
      <w:pPr>
        <w:ind w:left="3600" w:hanging="360"/>
      </w:pPr>
    </w:lvl>
    <w:lvl w:ilvl="5" w:tplc="DC566E04">
      <w:start w:val="1"/>
      <w:numFmt w:val="lowerRoman"/>
      <w:lvlText w:val="%6."/>
      <w:lvlJc w:val="right"/>
      <w:pPr>
        <w:ind w:left="4320" w:hanging="180"/>
      </w:pPr>
    </w:lvl>
    <w:lvl w:ilvl="6" w:tplc="06C03DE4">
      <w:start w:val="1"/>
      <w:numFmt w:val="decimal"/>
      <w:lvlText w:val="%7."/>
      <w:lvlJc w:val="left"/>
      <w:pPr>
        <w:ind w:left="5040" w:hanging="360"/>
      </w:pPr>
    </w:lvl>
    <w:lvl w:ilvl="7" w:tplc="E85E025E">
      <w:start w:val="1"/>
      <w:numFmt w:val="lowerLetter"/>
      <w:lvlText w:val="%8."/>
      <w:lvlJc w:val="left"/>
      <w:pPr>
        <w:ind w:left="5760" w:hanging="360"/>
      </w:pPr>
    </w:lvl>
    <w:lvl w:ilvl="8" w:tplc="30C682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4137A"/>
    <w:multiLevelType w:val="hybridMultilevel"/>
    <w:tmpl w:val="BB789A26"/>
    <w:lvl w:ilvl="0" w:tplc="43267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148226">
      <w:start w:val="1"/>
      <w:numFmt w:val="lowerLetter"/>
      <w:lvlText w:val="%2."/>
      <w:lvlJc w:val="left"/>
      <w:pPr>
        <w:ind w:left="1440" w:hanging="360"/>
      </w:pPr>
    </w:lvl>
    <w:lvl w:ilvl="2" w:tplc="8F6A7876">
      <w:start w:val="1"/>
      <w:numFmt w:val="lowerRoman"/>
      <w:lvlText w:val="%3."/>
      <w:lvlJc w:val="right"/>
      <w:pPr>
        <w:ind w:left="2160" w:hanging="180"/>
      </w:pPr>
    </w:lvl>
    <w:lvl w:ilvl="3" w:tplc="E76EED9E">
      <w:start w:val="1"/>
      <w:numFmt w:val="decimal"/>
      <w:lvlText w:val="%4."/>
      <w:lvlJc w:val="left"/>
      <w:pPr>
        <w:ind w:left="2880" w:hanging="360"/>
      </w:pPr>
    </w:lvl>
    <w:lvl w:ilvl="4" w:tplc="8F36AFEE">
      <w:start w:val="1"/>
      <w:numFmt w:val="lowerLetter"/>
      <w:lvlText w:val="%5."/>
      <w:lvlJc w:val="left"/>
      <w:pPr>
        <w:ind w:left="3600" w:hanging="360"/>
      </w:pPr>
    </w:lvl>
    <w:lvl w:ilvl="5" w:tplc="F1C6F3C4">
      <w:start w:val="1"/>
      <w:numFmt w:val="lowerRoman"/>
      <w:lvlText w:val="%6."/>
      <w:lvlJc w:val="right"/>
      <w:pPr>
        <w:ind w:left="4320" w:hanging="180"/>
      </w:pPr>
    </w:lvl>
    <w:lvl w:ilvl="6" w:tplc="3FD8C17C">
      <w:start w:val="1"/>
      <w:numFmt w:val="decimal"/>
      <w:lvlText w:val="%7."/>
      <w:lvlJc w:val="left"/>
      <w:pPr>
        <w:ind w:left="5040" w:hanging="360"/>
      </w:pPr>
    </w:lvl>
    <w:lvl w:ilvl="7" w:tplc="25104E30">
      <w:start w:val="1"/>
      <w:numFmt w:val="lowerLetter"/>
      <w:lvlText w:val="%8."/>
      <w:lvlJc w:val="left"/>
      <w:pPr>
        <w:ind w:left="5760" w:hanging="360"/>
      </w:pPr>
    </w:lvl>
    <w:lvl w:ilvl="8" w:tplc="DED4FB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2B"/>
    <w:rsid w:val="004D202B"/>
    <w:rsid w:val="0095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pPr>
      <w:keepNext/>
      <w:outlineLvl w:val="0"/>
    </w:pPr>
    <w:rPr>
      <w:rFonts w:ascii="Tahoma" w:hAnsi="Tahoma"/>
      <w:sz w:val="24"/>
    </w:rPr>
  </w:style>
  <w:style w:type="paragraph" w:styleId="2">
    <w:name w:val="heading 2"/>
    <w:basedOn w:val="10"/>
    <w:next w:val="10"/>
    <w:link w:val="20"/>
    <w:qFormat/>
    <w:pPr>
      <w:keepNext/>
      <w:outlineLvl w:val="1"/>
    </w:pPr>
    <w:rPr>
      <w:rFonts w:ascii="Tahoma" w:hAnsi="Tahoma"/>
      <w:spacing w:val="20"/>
      <w:sz w:val="28"/>
    </w:rPr>
  </w:style>
  <w:style w:type="paragraph" w:styleId="3">
    <w:name w:val="heading 3"/>
    <w:basedOn w:val="10"/>
    <w:next w:val="10"/>
    <w:link w:val="30"/>
    <w:uiPriority w:val="9"/>
    <w:qFormat/>
    <w:pPr>
      <w:keepNext/>
      <w:outlineLvl w:val="2"/>
    </w:pPr>
    <w:rPr>
      <w:rFonts w:ascii="Tahoma" w:hAnsi="Tahoma"/>
      <w:b/>
      <w:sz w:val="32"/>
    </w:rPr>
  </w:style>
  <w:style w:type="paragraph" w:styleId="4">
    <w:name w:val="heading 4"/>
    <w:basedOn w:val="10"/>
    <w:next w:val="10"/>
    <w:link w:val="40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10"/>
    <w:next w:val="10"/>
    <w:link w:val="50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10"/>
    <w:next w:val="10"/>
    <w:link w:val="60"/>
    <w:qFormat/>
    <w:pPr>
      <w:keepNext/>
      <w:ind w:left="720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0">
    <w:name w:val="Обычный1"/>
  </w:style>
  <w:style w:type="character" w:customStyle="1" w:styleId="13">
    <w:name w:val="Основной шрифт абзаца1"/>
  </w:style>
  <w:style w:type="paragraph" w:styleId="af2">
    <w:name w:val="header"/>
    <w:basedOn w:val="10"/>
    <w:link w:val="af3"/>
    <w:uiPriority w:val="99"/>
    <w:pPr>
      <w:tabs>
        <w:tab w:val="center" w:pos="4153"/>
        <w:tab w:val="right" w:pos="8306"/>
      </w:tabs>
    </w:pPr>
  </w:style>
  <w:style w:type="paragraph" w:styleId="af4">
    <w:name w:val="footer"/>
    <w:basedOn w:val="10"/>
    <w:link w:val="af5"/>
    <w:uiPriority w:val="99"/>
    <w:pPr>
      <w:tabs>
        <w:tab w:val="center" w:pos="4153"/>
        <w:tab w:val="right" w:pos="8306"/>
      </w:tabs>
    </w:pPr>
  </w:style>
  <w:style w:type="paragraph" w:styleId="af6">
    <w:name w:val="Body Text Indent"/>
    <w:basedOn w:val="10"/>
    <w:pPr>
      <w:ind w:firstLine="426"/>
      <w:jc w:val="both"/>
    </w:pPr>
    <w:rPr>
      <w:sz w:val="28"/>
    </w:rPr>
  </w:style>
  <w:style w:type="paragraph" w:customStyle="1" w:styleId="14">
    <w:name w:val="Основной текст1"/>
    <w:basedOn w:val="10"/>
    <w:pPr>
      <w:spacing w:line="360" w:lineRule="auto"/>
      <w:jc w:val="both"/>
    </w:pPr>
    <w:rPr>
      <w:sz w:val="28"/>
    </w:rPr>
  </w:style>
  <w:style w:type="paragraph" w:styleId="24">
    <w:name w:val="Body Text Indent 2"/>
    <w:basedOn w:val="10"/>
    <w:pPr>
      <w:ind w:firstLine="720"/>
      <w:jc w:val="both"/>
    </w:pPr>
    <w:rPr>
      <w:sz w:val="28"/>
    </w:rPr>
  </w:style>
  <w:style w:type="character" w:styleId="af7">
    <w:name w:val="page number"/>
    <w:basedOn w:val="a0"/>
  </w:style>
  <w:style w:type="paragraph" w:customStyle="1" w:styleId="ConsNonformat">
    <w:name w:val="ConsNonformat"/>
    <w:pPr>
      <w:ind w:right="19772"/>
    </w:pPr>
    <w:rPr>
      <w:rFonts w:ascii="Courier New" w:hAnsi="Courier New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6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a">
    <w:name w:val="Strong"/>
    <w:qFormat/>
    <w:rPr>
      <w:b/>
      <w:bCs/>
    </w:rPr>
  </w:style>
  <w:style w:type="paragraph" w:customStyle="1" w:styleId="15">
    <w:name w:val="Знак Знак Знак Знак Знак Знак Знак Знак Знак Знак Знак Знак Знак Знак Знак1 Знак Знак Знак Знак"/>
    <w:basedOn w:val="a"/>
    <w:next w:val="2"/>
    <w:pPr>
      <w:spacing w:after="160" w:line="240" w:lineRule="exact"/>
    </w:pPr>
    <w:rPr>
      <w:sz w:val="24"/>
      <w:lang w:val="en-US" w:eastAsia="en-US"/>
    </w:rPr>
  </w:style>
  <w:style w:type="paragraph" w:customStyle="1" w:styleId="16">
    <w:name w:val="Знак1 Знак Знак Знак"/>
    <w:basedOn w:val="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</w:style>
  <w:style w:type="character" w:styleId="afb">
    <w:name w:val="Hyperlink"/>
    <w:rPr>
      <w:color w:val="0000FF"/>
      <w:u w:val="single"/>
    </w:rPr>
  </w:style>
  <w:style w:type="paragraph" w:customStyle="1" w:styleId="afc">
    <w:name w:val="Исполнитель"/>
    <w:basedOn w:val="a"/>
  </w:style>
  <w:style w:type="paragraph" w:customStyle="1" w:styleId="afd">
    <w:name w:val="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ar-SA"/>
    </w:rPr>
  </w:style>
  <w:style w:type="paragraph" w:customStyle="1" w:styleId="aff">
    <w:name w:val="Базовый"/>
    <w:pPr>
      <w:tabs>
        <w:tab w:val="left" w:pos="709"/>
      </w:tabs>
      <w:spacing w:after="200" w:line="276" w:lineRule="atLeast"/>
    </w:pPr>
    <w:rPr>
      <w:rFonts w:ascii="Calibri" w:hAnsi="Calibri"/>
      <w:color w:val="00000A"/>
      <w:sz w:val="22"/>
      <w:szCs w:val="22"/>
      <w:lang w:eastAsia="en-US"/>
    </w:rPr>
  </w:style>
  <w:style w:type="paragraph" w:styleId="aff0">
    <w:name w:val="Body Text"/>
    <w:basedOn w:val="a"/>
    <w:pPr>
      <w:spacing w:after="120"/>
    </w:p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Основной текст_"/>
    <w:basedOn w:val="a0"/>
    <w:link w:val="25"/>
    <w:rPr>
      <w:shd w:val="clear" w:color="auto" w:fill="FFFFFF"/>
    </w:rPr>
  </w:style>
  <w:style w:type="paragraph" w:customStyle="1" w:styleId="25">
    <w:name w:val="Основной текст2"/>
    <w:basedOn w:val="a"/>
    <w:link w:val="aff3"/>
    <w:pPr>
      <w:widowControl w:val="0"/>
      <w:shd w:val="clear" w:color="auto" w:fill="FFFFFF"/>
      <w:spacing w:line="0" w:lineRule="atLeast"/>
    </w:pPr>
  </w:style>
  <w:style w:type="paragraph" w:customStyle="1" w:styleId="ConsPlusCell">
    <w:name w:val="ConsPlusCell"/>
    <w:uiPriority w:val="99"/>
    <w:pPr>
      <w:widowControl w:val="0"/>
    </w:pPr>
    <w:rPr>
      <w:rFonts w:ascii="Calibri" w:hAnsi="Calibri" w:cs="Calibri"/>
      <w:sz w:val="22"/>
      <w:szCs w:val="22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f5">
    <w:name w:val="Нижний колонтитул Знак"/>
    <w:link w:val="af4"/>
    <w:uiPriority w:val="99"/>
  </w:style>
  <w:style w:type="character" w:customStyle="1" w:styleId="30">
    <w:name w:val="Заголовок 3 Знак"/>
    <w:basedOn w:val="a0"/>
    <w:link w:val="3"/>
    <w:uiPriority w:val="9"/>
    <w:rPr>
      <w:rFonts w:ascii="Tahoma" w:hAnsi="Tahoma"/>
      <w:b/>
      <w:sz w:val="32"/>
    </w:rPr>
  </w:style>
  <w:style w:type="paragraph" w:customStyle="1" w:styleId="ConsPlusNormal">
    <w:name w:val="ConsPlusNormal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pPr>
      <w:keepNext/>
      <w:outlineLvl w:val="0"/>
    </w:pPr>
    <w:rPr>
      <w:rFonts w:ascii="Tahoma" w:hAnsi="Tahoma"/>
      <w:sz w:val="24"/>
    </w:rPr>
  </w:style>
  <w:style w:type="paragraph" w:styleId="2">
    <w:name w:val="heading 2"/>
    <w:basedOn w:val="10"/>
    <w:next w:val="10"/>
    <w:link w:val="20"/>
    <w:qFormat/>
    <w:pPr>
      <w:keepNext/>
      <w:outlineLvl w:val="1"/>
    </w:pPr>
    <w:rPr>
      <w:rFonts w:ascii="Tahoma" w:hAnsi="Tahoma"/>
      <w:spacing w:val="20"/>
      <w:sz w:val="28"/>
    </w:rPr>
  </w:style>
  <w:style w:type="paragraph" w:styleId="3">
    <w:name w:val="heading 3"/>
    <w:basedOn w:val="10"/>
    <w:next w:val="10"/>
    <w:link w:val="30"/>
    <w:uiPriority w:val="9"/>
    <w:qFormat/>
    <w:pPr>
      <w:keepNext/>
      <w:outlineLvl w:val="2"/>
    </w:pPr>
    <w:rPr>
      <w:rFonts w:ascii="Tahoma" w:hAnsi="Tahoma"/>
      <w:b/>
      <w:sz w:val="32"/>
    </w:rPr>
  </w:style>
  <w:style w:type="paragraph" w:styleId="4">
    <w:name w:val="heading 4"/>
    <w:basedOn w:val="10"/>
    <w:next w:val="10"/>
    <w:link w:val="40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10"/>
    <w:next w:val="10"/>
    <w:link w:val="50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10"/>
    <w:next w:val="10"/>
    <w:link w:val="60"/>
    <w:qFormat/>
    <w:pPr>
      <w:keepNext/>
      <w:ind w:left="720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0">
    <w:name w:val="Обычный1"/>
  </w:style>
  <w:style w:type="character" w:customStyle="1" w:styleId="13">
    <w:name w:val="Основной шрифт абзаца1"/>
  </w:style>
  <w:style w:type="paragraph" w:styleId="af2">
    <w:name w:val="header"/>
    <w:basedOn w:val="10"/>
    <w:link w:val="af3"/>
    <w:uiPriority w:val="99"/>
    <w:pPr>
      <w:tabs>
        <w:tab w:val="center" w:pos="4153"/>
        <w:tab w:val="right" w:pos="8306"/>
      </w:tabs>
    </w:pPr>
  </w:style>
  <w:style w:type="paragraph" w:styleId="af4">
    <w:name w:val="footer"/>
    <w:basedOn w:val="10"/>
    <w:link w:val="af5"/>
    <w:uiPriority w:val="99"/>
    <w:pPr>
      <w:tabs>
        <w:tab w:val="center" w:pos="4153"/>
        <w:tab w:val="right" w:pos="8306"/>
      </w:tabs>
    </w:pPr>
  </w:style>
  <w:style w:type="paragraph" w:styleId="af6">
    <w:name w:val="Body Text Indent"/>
    <w:basedOn w:val="10"/>
    <w:pPr>
      <w:ind w:firstLine="426"/>
      <w:jc w:val="both"/>
    </w:pPr>
    <w:rPr>
      <w:sz w:val="28"/>
    </w:rPr>
  </w:style>
  <w:style w:type="paragraph" w:customStyle="1" w:styleId="14">
    <w:name w:val="Основной текст1"/>
    <w:basedOn w:val="10"/>
    <w:pPr>
      <w:spacing w:line="360" w:lineRule="auto"/>
      <w:jc w:val="both"/>
    </w:pPr>
    <w:rPr>
      <w:sz w:val="28"/>
    </w:rPr>
  </w:style>
  <w:style w:type="paragraph" w:styleId="24">
    <w:name w:val="Body Text Indent 2"/>
    <w:basedOn w:val="10"/>
    <w:pPr>
      <w:ind w:firstLine="720"/>
      <w:jc w:val="both"/>
    </w:pPr>
    <w:rPr>
      <w:sz w:val="28"/>
    </w:rPr>
  </w:style>
  <w:style w:type="character" w:styleId="af7">
    <w:name w:val="page number"/>
    <w:basedOn w:val="a0"/>
  </w:style>
  <w:style w:type="paragraph" w:customStyle="1" w:styleId="ConsNonformat">
    <w:name w:val="ConsNonformat"/>
    <w:pPr>
      <w:ind w:right="19772"/>
    </w:pPr>
    <w:rPr>
      <w:rFonts w:ascii="Courier New" w:hAnsi="Courier New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6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a">
    <w:name w:val="Strong"/>
    <w:qFormat/>
    <w:rPr>
      <w:b/>
      <w:bCs/>
    </w:rPr>
  </w:style>
  <w:style w:type="paragraph" w:customStyle="1" w:styleId="15">
    <w:name w:val="Знак Знак Знак Знак Знак Знак Знак Знак Знак Знак Знак Знак Знак Знак Знак1 Знак Знак Знак Знак"/>
    <w:basedOn w:val="a"/>
    <w:next w:val="2"/>
    <w:pPr>
      <w:spacing w:after="160" w:line="240" w:lineRule="exact"/>
    </w:pPr>
    <w:rPr>
      <w:sz w:val="24"/>
      <w:lang w:val="en-US" w:eastAsia="en-US"/>
    </w:rPr>
  </w:style>
  <w:style w:type="paragraph" w:customStyle="1" w:styleId="16">
    <w:name w:val="Знак1 Знак Знак Знак"/>
    <w:basedOn w:val="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</w:style>
  <w:style w:type="character" w:styleId="afb">
    <w:name w:val="Hyperlink"/>
    <w:rPr>
      <w:color w:val="0000FF"/>
      <w:u w:val="single"/>
    </w:rPr>
  </w:style>
  <w:style w:type="paragraph" w:customStyle="1" w:styleId="afc">
    <w:name w:val="Исполнитель"/>
    <w:basedOn w:val="a"/>
  </w:style>
  <w:style w:type="paragraph" w:customStyle="1" w:styleId="afd">
    <w:name w:val="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ar-SA"/>
    </w:rPr>
  </w:style>
  <w:style w:type="paragraph" w:customStyle="1" w:styleId="aff">
    <w:name w:val="Базовый"/>
    <w:pPr>
      <w:tabs>
        <w:tab w:val="left" w:pos="709"/>
      </w:tabs>
      <w:spacing w:after="200" w:line="276" w:lineRule="atLeast"/>
    </w:pPr>
    <w:rPr>
      <w:rFonts w:ascii="Calibri" w:hAnsi="Calibri"/>
      <w:color w:val="00000A"/>
      <w:sz w:val="22"/>
      <w:szCs w:val="22"/>
      <w:lang w:eastAsia="en-US"/>
    </w:rPr>
  </w:style>
  <w:style w:type="paragraph" w:styleId="aff0">
    <w:name w:val="Body Text"/>
    <w:basedOn w:val="a"/>
    <w:pPr>
      <w:spacing w:after="120"/>
    </w:p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3">
    <w:name w:val="Основной текст_"/>
    <w:basedOn w:val="a0"/>
    <w:link w:val="25"/>
    <w:rPr>
      <w:shd w:val="clear" w:color="auto" w:fill="FFFFFF"/>
    </w:rPr>
  </w:style>
  <w:style w:type="paragraph" w:customStyle="1" w:styleId="25">
    <w:name w:val="Основной текст2"/>
    <w:basedOn w:val="a"/>
    <w:link w:val="aff3"/>
    <w:pPr>
      <w:widowControl w:val="0"/>
      <w:shd w:val="clear" w:color="auto" w:fill="FFFFFF"/>
      <w:spacing w:line="0" w:lineRule="atLeast"/>
    </w:pPr>
  </w:style>
  <w:style w:type="paragraph" w:customStyle="1" w:styleId="ConsPlusCell">
    <w:name w:val="ConsPlusCell"/>
    <w:uiPriority w:val="99"/>
    <w:pPr>
      <w:widowControl w:val="0"/>
    </w:pPr>
    <w:rPr>
      <w:rFonts w:ascii="Calibri" w:hAnsi="Calibri" w:cs="Calibri"/>
      <w:sz w:val="22"/>
      <w:szCs w:val="22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f5">
    <w:name w:val="Нижний колонтитул Знак"/>
    <w:link w:val="af4"/>
    <w:uiPriority w:val="99"/>
  </w:style>
  <w:style w:type="character" w:customStyle="1" w:styleId="30">
    <w:name w:val="Заголовок 3 Знак"/>
    <w:basedOn w:val="a0"/>
    <w:link w:val="3"/>
    <w:uiPriority w:val="9"/>
    <w:rPr>
      <w:rFonts w:ascii="Tahoma" w:hAnsi="Tahoma"/>
      <w:b/>
      <w:sz w:val="32"/>
    </w:rPr>
  </w:style>
  <w:style w:type="paragraph" w:customStyle="1" w:styleId="ConsPlusNormal">
    <w:name w:val="ConsPlusNormal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8F41392-64AF-45AF-829E-F36A88D3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Томской области</vt:lpstr>
    </vt:vector>
  </TitlesOfParts>
  <Company/>
  <LinksUpToDate>false</LinksUpToDate>
  <CharactersWithSpaces>13328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Томской области</dc:title>
  <dc:creator>pev</dc:creator>
  <cp:lastModifiedBy>Гюнашян Екатерина Львовна</cp:lastModifiedBy>
  <cp:revision>2</cp:revision>
  <dcterms:created xsi:type="dcterms:W3CDTF">2022-06-01T04:52:00Z</dcterms:created>
  <dcterms:modified xsi:type="dcterms:W3CDTF">2022-06-01T04:52:00Z</dcterms:modified>
</cp:coreProperties>
</file>